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F178" w14:textId="1B63481E" w:rsidR="003137A4" w:rsidRDefault="003137A4" w:rsidP="006359CB">
      <w:pPr>
        <w:pStyle w:val="Heading1"/>
        <w:spacing w:before="0"/>
      </w:pPr>
      <w:r w:rsidRPr="003137A4">
        <w:t>Understanding how the unregulated opioid supply impacts the drug poisoning crisis in Ontario</w:t>
      </w:r>
    </w:p>
    <w:p w14:paraId="4A508E60" w14:textId="77777777" w:rsidR="003137A4" w:rsidRPr="00075CF1" w:rsidRDefault="003137A4" w:rsidP="003137A4">
      <w:pPr>
        <w:spacing w:before="240"/>
      </w:pPr>
      <w:r w:rsidRPr="00075CF1">
        <w:t xml:space="preserve">The unregulated drug market in Canada distributes products of unknown potency. These are often contaminated with unexpected and harmful drugs. Because of this, people who purchase drugs from the unregulated market are at high risk of fatal drug poisoning. The toxicity and unpredictability of the unregulated drug supply is largely responsible for increasing fatal drug poisonings in Ontario to the current rate of eight deaths per day.  </w:t>
      </w:r>
    </w:p>
    <w:p w14:paraId="0F72CDD9" w14:textId="77777777" w:rsidR="003137A4" w:rsidRDefault="003137A4" w:rsidP="003137A4">
      <w:r w:rsidRPr="00075CF1">
        <w:t xml:space="preserve">Since 2019, </w:t>
      </w:r>
      <w:hyperlink r:id="rId7" w:history="1">
        <w:r w:rsidRPr="00075CF1">
          <w:rPr>
            <w:rStyle w:val="Hyperlink"/>
          </w:rPr>
          <w:t xml:space="preserve">Toronto’s Drug Checking Service </w:t>
        </w:r>
      </w:hyperlink>
      <w:r w:rsidRPr="00075CF1">
        <w:t xml:space="preserve">has systematically monitored and analyzed Toronto’s street supply of drugs by way of a free and anonymous public health service. Funded by Health Canada, their results clearly demonstrate that </w:t>
      </w:r>
      <w:r w:rsidRPr="00075CF1">
        <w:rPr>
          <w:b/>
          <w:bCs/>
        </w:rPr>
        <w:t xml:space="preserve">the opioids people believe they are purchasing are </w:t>
      </w:r>
      <w:r w:rsidRPr="00075CF1">
        <w:rPr>
          <w:b/>
          <w:bCs/>
          <w:i/>
          <w:iCs/>
        </w:rPr>
        <w:t xml:space="preserve">not </w:t>
      </w:r>
      <w:r w:rsidRPr="00075CF1">
        <w:rPr>
          <w:b/>
          <w:bCs/>
        </w:rPr>
        <w:t xml:space="preserve">what they are getting. </w:t>
      </w:r>
      <w:r w:rsidRPr="00075CF1">
        <w:t xml:space="preserve">Below is a snapshot of insights from their data. </w:t>
      </w:r>
    </w:p>
    <w:p w14:paraId="424FB08F" w14:textId="77777777" w:rsidR="003137A4" w:rsidRDefault="003137A4" w:rsidP="003137A4">
      <w:pPr>
        <w:rPr>
          <w:b/>
          <w:bCs/>
          <w:lang w:val="en-CA"/>
        </w:rPr>
      </w:pPr>
      <w:r>
        <w:rPr>
          <w:lang w:val="en-CA"/>
        </w:rPr>
        <w:t xml:space="preserve">Total drug </w:t>
      </w:r>
      <w:r w:rsidRPr="00075CF1">
        <w:rPr>
          <w:lang w:val="en-CA"/>
        </w:rPr>
        <w:t xml:space="preserve">samples checked (Oct 2019-Dec 2022): </w:t>
      </w:r>
      <w:r w:rsidRPr="00075CF1">
        <w:rPr>
          <w:b/>
          <w:bCs/>
          <w:lang w:val="en-CA"/>
        </w:rPr>
        <w:t>8097</w:t>
      </w:r>
    </w:p>
    <w:p w14:paraId="063536AB" w14:textId="2199F522" w:rsidR="003137A4" w:rsidRDefault="003137A4" w:rsidP="003137A4">
      <w:pPr>
        <w:rPr>
          <w:b/>
          <w:bCs/>
          <w:lang w:val="en-CA"/>
        </w:rPr>
      </w:pPr>
      <w:r w:rsidRPr="00075CF1">
        <w:rPr>
          <w:b/>
          <w:bCs/>
          <w:lang w:val="en-CA"/>
        </w:rPr>
        <w:t>3676 of samples were believed to be fentanyl.</w:t>
      </w:r>
      <w:r>
        <w:t xml:space="preserve"> </w:t>
      </w:r>
      <w:r w:rsidRPr="00075CF1">
        <w:rPr>
          <w:b/>
          <w:bCs/>
          <w:lang w:val="en-CA"/>
        </w:rPr>
        <w:t xml:space="preserve">Just 3% of those were </w:t>
      </w:r>
      <w:r w:rsidRPr="00075CF1">
        <w:rPr>
          <w:b/>
          <w:bCs/>
          <w:i/>
          <w:iCs/>
          <w:lang w:val="en-CA"/>
        </w:rPr>
        <w:t>actually</w:t>
      </w:r>
      <w:r w:rsidRPr="00075CF1">
        <w:rPr>
          <w:b/>
          <w:bCs/>
          <w:lang w:val="en-CA"/>
        </w:rPr>
        <w:t xml:space="preserve"> only fentanyl. </w:t>
      </w:r>
    </w:p>
    <w:p w14:paraId="2A5DD37F" w14:textId="2FD4BADC" w:rsidR="003137A4" w:rsidRDefault="003137A4" w:rsidP="003137A4">
      <w:r w:rsidRPr="00075CF1">
        <w:rPr>
          <w:noProof/>
        </w:rPr>
        <w:drawing>
          <wp:inline distT="0" distB="0" distL="0" distR="0" wp14:anchorId="498C33B1" wp14:editId="2B2EAE8D">
            <wp:extent cx="5772150" cy="17621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75CF1">
        <w:rPr>
          <w:noProof/>
        </w:rPr>
        <w:drawing>
          <wp:inline distT="0" distB="0" distL="0" distR="0" wp14:anchorId="7606270E" wp14:editId="38EB241A">
            <wp:extent cx="5362575" cy="2571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11535B" w14:textId="77777777" w:rsidR="006359CB" w:rsidRPr="00075CF1" w:rsidRDefault="006359CB" w:rsidP="003137A4"/>
    <w:p w14:paraId="7616FC09" w14:textId="77777777" w:rsidR="003137A4" w:rsidRPr="00075CF1" w:rsidRDefault="003137A4" w:rsidP="003137A4">
      <w:pPr>
        <w:pStyle w:val="Heading2"/>
      </w:pPr>
      <w:r w:rsidRPr="00075CF1">
        <w:rPr>
          <w:lang w:val="en-CA"/>
        </w:rPr>
        <w:lastRenderedPageBreak/>
        <w:t>Other drugs found in the samples that were believed to be fentanyl</w:t>
      </w:r>
      <w:r w:rsidRPr="00075CF1">
        <w:rPr>
          <w:vertAlign w:val="superscript"/>
          <w:lang w:val="en-CA"/>
        </w:rPr>
        <w:t>3</w:t>
      </w:r>
    </w:p>
    <w:p w14:paraId="6ACFCE51" w14:textId="77777777" w:rsidR="003137A4" w:rsidRPr="00075CF1" w:rsidRDefault="003137A4" w:rsidP="006359CB">
      <w:pPr>
        <w:spacing w:before="240"/>
      </w:pPr>
      <w:r w:rsidRPr="00075CF1">
        <w:rPr>
          <w:b/>
          <w:bCs/>
          <w:lang w:val="en-CA"/>
        </w:rPr>
        <w:t>1611 samples contained fentanyl-related substances and other high-potency synthetic opioids.</w:t>
      </w:r>
    </w:p>
    <w:p w14:paraId="412AECBE" w14:textId="77777777" w:rsidR="003137A4" w:rsidRPr="00075CF1" w:rsidRDefault="003137A4" w:rsidP="003137A4">
      <w:pPr>
        <w:numPr>
          <w:ilvl w:val="0"/>
          <w:numId w:val="1"/>
        </w:numPr>
      </w:pPr>
      <w:r w:rsidRPr="00075CF1">
        <w:rPr>
          <w:lang w:val="en-CA"/>
        </w:rPr>
        <w:t>Ultra-potent synthetic opioids such as nitazene opioids (up to 10 times stronger than fentanyl) and carfentanil (100 times stronger than fentanyl) are consistently being introduced into the unregulated opioid supply.</w:t>
      </w:r>
    </w:p>
    <w:p w14:paraId="26C8FD7B" w14:textId="77777777" w:rsidR="003137A4" w:rsidRPr="00075CF1" w:rsidRDefault="003137A4" w:rsidP="003137A4">
      <w:pPr>
        <w:numPr>
          <w:ilvl w:val="0"/>
          <w:numId w:val="1"/>
        </w:numPr>
      </w:pPr>
      <w:r w:rsidRPr="00075CF1">
        <w:rPr>
          <w:lang w:val="en-CA"/>
        </w:rPr>
        <w:t xml:space="preserve">Information about the presence and potency of these substances is not available to the consumer. </w:t>
      </w:r>
    </w:p>
    <w:p w14:paraId="07B123F7" w14:textId="77777777" w:rsidR="003137A4" w:rsidRPr="00075CF1" w:rsidRDefault="003137A4" w:rsidP="003137A4">
      <w:pPr>
        <w:numPr>
          <w:ilvl w:val="0"/>
          <w:numId w:val="1"/>
        </w:numPr>
      </w:pPr>
      <w:r w:rsidRPr="00075CF1">
        <w:rPr>
          <w:lang w:val="en-CA"/>
        </w:rPr>
        <w:t xml:space="preserve">Unpredictability in the content and potency of the opioid supply is responsible for many of the fatal drug poisonings that occur. </w:t>
      </w:r>
    </w:p>
    <w:p w14:paraId="31BD6AC3" w14:textId="77777777" w:rsidR="003137A4" w:rsidRPr="00075CF1" w:rsidRDefault="003137A4" w:rsidP="003137A4">
      <w:r w:rsidRPr="00075CF1">
        <w:rPr>
          <w:b/>
          <w:bCs/>
          <w:lang w:val="en-CA"/>
        </w:rPr>
        <w:t>2019 samples</w:t>
      </w:r>
      <w:r>
        <w:t xml:space="preserve"> </w:t>
      </w:r>
      <w:r w:rsidRPr="00075CF1">
        <w:rPr>
          <w:b/>
          <w:bCs/>
          <w:lang w:val="en-CA"/>
        </w:rPr>
        <w:t>contained benzodiazepine-related drugs and other tranquilizers.</w:t>
      </w:r>
    </w:p>
    <w:p w14:paraId="4AB57EE0" w14:textId="77777777" w:rsidR="003137A4" w:rsidRPr="00075CF1" w:rsidRDefault="003137A4" w:rsidP="003137A4">
      <w:pPr>
        <w:numPr>
          <w:ilvl w:val="0"/>
          <w:numId w:val="2"/>
        </w:numPr>
      </w:pPr>
      <w:r w:rsidRPr="00075CF1">
        <w:rPr>
          <w:lang w:val="en-CA"/>
        </w:rPr>
        <w:t xml:space="preserve">The risk of experiencing a fatal drug poisoning greatly increases when opioids and other central nervous system or respiratory depressants, like benzodiazepine-related drugs or tranquilizers, are consumed together. </w:t>
      </w:r>
    </w:p>
    <w:p w14:paraId="2FD12E85" w14:textId="77777777" w:rsidR="003137A4" w:rsidRPr="00075CF1" w:rsidRDefault="003137A4" w:rsidP="003137A4">
      <w:pPr>
        <w:numPr>
          <w:ilvl w:val="0"/>
          <w:numId w:val="2"/>
        </w:numPr>
      </w:pPr>
      <w:r w:rsidRPr="00075CF1">
        <w:rPr>
          <w:lang w:val="en-CA"/>
        </w:rPr>
        <w:t>Naloxone can temporarily reverse an opioid overdose and should always be used to improve breathing in cases of suspected overdose, but naloxone will be less effective when other drugs have been combined with an opioid.</w:t>
      </w:r>
    </w:p>
    <w:p w14:paraId="06F26150" w14:textId="77777777" w:rsidR="003137A4" w:rsidRPr="00075CF1" w:rsidRDefault="003137A4" w:rsidP="003137A4">
      <w:r w:rsidRPr="00075CF1">
        <w:rPr>
          <w:lang w:val="en-CA"/>
        </w:rPr>
        <w:t xml:space="preserve">For a more detailed breakdown of individual substances detected, visit </w:t>
      </w:r>
      <w:hyperlink r:id="rId10" w:history="1">
        <w:r w:rsidRPr="00075CF1">
          <w:rPr>
            <w:rStyle w:val="Hyperlink"/>
            <w:lang w:val="en-CA"/>
          </w:rPr>
          <w:t xml:space="preserve">Toronto’s Drug Checking Service </w:t>
        </w:r>
      </w:hyperlink>
      <w:r w:rsidRPr="00075CF1">
        <w:rPr>
          <w:lang w:val="en-CA"/>
        </w:rPr>
        <w:t xml:space="preserve">website. </w:t>
      </w:r>
    </w:p>
    <w:p w14:paraId="1B8BE7FF" w14:textId="77777777" w:rsidR="003137A4" w:rsidRDefault="003137A4" w:rsidP="003137A4">
      <w:r w:rsidRPr="00075CF1">
        <w:rPr>
          <w:lang w:val="en-CA"/>
        </w:rPr>
        <w:t xml:space="preserve">For information on the substances listed, visit Toronto Drug Checking Service’s Drug Dictionary  </w:t>
      </w:r>
      <w:hyperlink r:id="rId11" w:history="1">
        <w:r w:rsidRPr="00075CF1">
          <w:rPr>
            <w:rStyle w:val="Hyperlink"/>
            <w:lang w:val="en-CA"/>
          </w:rPr>
          <w:t>https://drugchecking.cdpe.org/drug-dictionary</w:t>
        </w:r>
      </w:hyperlink>
      <w:hyperlink r:id="rId12" w:history="1">
        <w:r w:rsidRPr="00075CF1">
          <w:rPr>
            <w:rStyle w:val="Hyperlink"/>
            <w:lang w:val="en-CA"/>
          </w:rPr>
          <w:t>/</w:t>
        </w:r>
      </w:hyperlink>
    </w:p>
    <w:p w14:paraId="614FE260" w14:textId="77777777" w:rsidR="003137A4" w:rsidRPr="00075CF1" w:rsidRDefault="003137A4" w:rsidP="003137A4">
      <w:pPr>
        <w:pStyle w:val="Heading2"/>
        <w:spacing w:after="240"/>
      </w:pPr>
      <w:r w:rsidRPr="00075CF1">
        <w:t xml:space="preserve">Implications of the unregulated drug market on the opioid crisis: </w:t>
      </w:r>
    </w:p>
    <w:p w14:paraId="50AC5451" w14:textId="77777777" w:rsidR="003137A4" w:rsidRPr="00075CF1" w:rsidRDefault="003137A4" w:rsidP="003137A4">
      <w:pPr>
        <w:pStyle w:val="ListParagraph"/>
        <w:numPr>
          <w:ilvl w:val="0"/>
          <w:numId w:val="3"/>
        </w:numPr>
      </w:pPr>
      <w:r w:rsidRPr="00075CF1">
        <w:rPr>
          <w:b/>
          <w:bCs/>
        </w:rPr>
        <w:t xml:space="preserve">Accidental drug poisonings continue at disturbingly high rates. </w:t>
      </w:r>
      <w:r w:rsidRPr="00075CF1">
        <w:t xml:space="preserve">While the unregulated opioid supply continues to be comprised of products of unknown potencies and composition, anyone purchasing these substances is at risk of drug-related injury or overdose. </w:t>
      </w:r>
    </w:p>
    <w:p w14:paraId="7E2B804A" w14:textId="77777777" w:rsidR="003137A4" w:rsidRPr="00075CF1" w:rsidRDefault="003137A4" w:rsidP="003137A4">
      <w:pPr>
        <w:pStyle w:val="ListParagraph"/>
        <w:numPr>
          <w:ilvl w:val="0"/>
          <w:numId w:val="3"/>
        </w:numPr>
      </w:pPr>
      <w:r w:rsidRPr="00075CF1">
        <w:rPr>
          <w:b/>
          <w:bCs/>
        </w:rPr>
        <w:t xml:space="preserve">Crisis services are overburdened. </w:t>
      </w:r>
      <w:r w:rsidRPr="00075CF1">
        <w:t xml:space="preserve">While drug poisonings continue to occur, first responder calls for these events remain at high levels throughout Ontario. This increased demand adds additional stress to already overworked health care and first responder services.   </w:t>
      </w:r>
    </w:p>
    <w:p w14:paraId="65E5810E" w14:textId="77777777" w:rsidR="003137A4" w:rsidRPr="00075CF1" w:rsidRDefault="003137A4" w:rsidP="003137A4">
      <w:pPr>
        <w:pStyle w:val="ListParagraph"/>
        <w:numPr>
          <w:ilvl w:val="0"/>
          <w:numId w:val="3"/>
        </w:numPr>
      </w:pPr>
      <w:r w:rsidRPr="00075CF1">
        <w:rPr>
          <w:b/>
          <w:bCs/>
        </w:rPr>
        <w:t xml:space="preserve">First responders, front-line workers, people who use substances and their communities experience moral distress. </w:t>
      </w:r>
      <w:r w:rsidRPr="00075CF1">
        <w:t>Standard procedures to reverse drug poisonings, such as administering naloxone, do not work when unknown substances have been consumed. This can result in fatalities, generating burnout and secondary trauma for those involved.</w:t>
      </w:r>
    </w:p>
    <w:p w14:paraId="3094DEC3" w14:textId="77777777" w:rsidR="003137A4" w:rsidRPr="00075CF1" w:rsidRDefault="003137A4" w:rsidP="003137A4">
      <w:pPr>
        <w:pStyle w:val="ListParagraph"/>
        <w:numPr>
          <w:ilvl w:val="0"/>
          <w:numId w:val="3"/>
        </w:numPr>
      </w:pPr>
      <w:r w:rsidRPr="00075CF1">
        <w:rPr>
          <w:b/>
          <w:bCs/>
        </w:rPr>
        <w:t>Low rates of engagement in treatment and health-based services</w:t>
      </w:r>
      <w:r w:rsidRPr="00075CF1">
        <w:t xml:space="preserve">. When the unregulated market is the only source of supply for people who use opioids, engagement with health and social service pathways remain limited or non-existent.  </w:t>
      </w:r>
    </w:p>
    <w:p w14:paraId="5A32AF29" w14:textId="77777777" w:rsidR="003137A4" w:rsidRPr="00075CF1" w:rsidRDefault="003137A4" w:rsidP="003137A4">
      <w:pPr>
        <w:pStyle w:val="Heading2"/>
        <w:spacing w:after="240"/>
      </w:pPr>
      <w:r w:rsidRPr="00075CF1">
        <w:t xml:space="preserve">Questions for consideration: </w:t>
      </w:r>
    </w:p>
    <w:p w14:paraId="6576AD4E" w14:textId="77777777" w:rsidR="003137A4" w:rsidRPr="00075CF1" w:rsidRDefault="003137A4" w:rsidP="003137A4">
      <w:r w:rsidRPr="00075CF1">
        <w:rPr>
          <w:b/>
          <w:bCs/>
        </w:rPr>
        <w:t>1. How does the toxic drug supply process align with other Public Health Practices?</w:t>
      </w:r>
    </w:p>
    <w:p w14:paraId="14E37B61" w14:textId="77777777" w:rsidR="003137A4" w:rsidRPr="00075CF1" w:rsidRDefault="003137A4" w:rsidP="003137A4">
      <w:pPr>
        <w:numPr>
          <w:ilvl w:val="0"/>
          <w:numId w:val="4"/>
        </w:numPr>
      </w:pPr>
      <w:r w:rsidRPr="00075CF1">
        <w:lastRenderedPageBreak/>
        <w:t xml:space="preserve">Many people who use substances have no choice but to access unregulated drugs. As a result, they risk criminalization and, potentially fatal contamination. How does this align with other consumer protection practices for health-based concerns? </w:t>
      </w:r>
    </w:p>
    <w:p w14:paraId="7600FD3F" w14:textId="77777777" w:rsidR="003137A4" w:rsidRDefault="003137A4" w:rsidP="003137A4">
      <w:pPr>
        <w:rPr>
          <w:b/>
          <w:bCs/>
        </w:rPr>
      </w:pPr>
      <w:r w:rsidRPr="00075CF1">
        <w:rPr>
          <w:b/>
          <w:bCs/>
        </w:rPr>
        <w:t>2. Are public resources being effectively used to address the drug poisoning crisis?</w:t>
      </w:r>
    </w:p>
    <w:p w14:paraId="1F003EE4" w14:textId="77777777" w:rsidR="003137A4" w:rsidRPr="00075CF1" w:rsidRDefault="003137A4" w:rsidP="003137A4">
      <w:pPr>
        <w:numPr>
          <w:ilvl w:val="0"/>
          <w:numId w:val="5"/>
        </w:numPr>
      </w:pPr>
      <w:r w:rsidRPr="00075CF1">
        <w:t xml:space="preserve">If some of the resources that are currently provided to courts, police and correctional services were redirected to provide appropriate and timely prevention, harm reduction and treatment services, would this redirection of public funds be better able to reduce crime, reduce emergency healthcare use and costs, and prevent fatal drug poisonings? </w:t>
      </w:r>
    </w:p>
    <w:p w14:paraId="677984F8" w14:textId="77777777" w:rsidR="003137A4" w:rsidRPr="00075CF1" w:rsidRDefault="003137A4" w:rsidP="003137A4">
      <w:r w:rsidRPr="00075CF1">
        <w:rPr>
          <w:b/>
          <w:bCs/>
        </w:rPr>
        <w:t>3. Are stigma and bias preventing a thoughtful approach to ending the drug poisoning crisis?</w:t>
      </w:r>
    </w:p>
    <w:p w14:paraId="3BEF1D9F" w14:textId="77777777" w:rsidR="003137A4" w:rsidRPr="00075CF1" w:rsidRDefault="003137A4" w:rsidP="003137A4">
      <w:pPr>
        <w:numPr>
          <w:ilvl w:val="0"/>
          <w:numId w:val="6"/>
        </w:numPr>
      </w:pPr>
      <w:r w:rsidRPr="00075CF1">
        <w:t>What are the fears, concerns, biases and beliefs that underlie our current drug policy? Do they still make sense in 2023, given the knowledge and experience that we now have available?</w:t>
      </w:r>
    </w:p>
    <w:p w14:paraId="5F503C72" w14:textId="77777777" w:rsidR="003137A4" w:rsidRPr="00075CF1" w:rsidRDefault="003137A4" w:rsidP="003137A4">
      <w:r w:rsidRPr="00075CF1">
        <w:rPr>
          <w:b/>
          <w:bCs/>
        </w:rPr>
        <w:t>4. What does our approach to the drug poisoning crisis say about us?</w:t>
      </w:r>
    </w:p>
    <w:p w14:paraId="242BB988" w14:textId="77777777" w:rsidR="003137A4" w:rsidRPr="00075CF1" w:rsidRDefault="003137A4" w:rsidP="003137A4">
      <w:pPr>
        <w:numPr>
          <w:ilvl w:val="0"/>
          <w:numId w:val="7"/>
        </w:numPr>
      </w:pPr>
      <w:r w:rsidRPr="00075CF1">
        <w:t>If you depend on a prescription drug for a health condition, would you accept it if you had to get this drug from an unregulated market, knowing that it is likely to be contaminated and may kill you?</w:t>
      </w:r>
    </w:p>
    <w:p w14:paraId="5972ADC8" w14:textId="77777777" w:rsidR="003137A4" w:rsidRPr="003137A4" w:rsidRDefault="003137A4" w:rsidP="003137A4">
      <w:pPr>
        <w:pStyle w:val="Heading3"/>
        <w:spacing w:after="240"/>
      </w:pPr>
      <w:r w:rsidRPr="003137A4">
        <w:rPr>
          <w:lang w:val="en-CA"/>
        </w:rPr>
        <w:t>References</w:t>
      </w:r>
    </w:p>
    <w:p w14:paraId="1F81BDB5" w14:textId="77777777" w:rsidR="00000000" w:rsidRPr="003137A4" w:rsidRDefault="00C63322" w:rsidP="003137A4">
      <w:pPr>
        <w:numPr>
          <w:ilvl w:val="0"/>
          <w:numId w:val="10"/>
        </w:numPr>
      </w:pPr>
      <w:r w:rsidRPr="003137A4">
        <w:rPr>
          <w:lang w:val="en-CA"/>
        </w:rPr>
        <w:t xml:space="preserve">Toronto’s Drug Checking Service. (2023). Available: </w:t>
      </w:r>
      <w:hyperlink r:id="rId13" w:history="1">
        <w:r w:rsidRPr="003137A4">
          <w:rPr>
            <w:rStyle w:val="Hyperlink"/>
            <w:lang w:val="en-CA"/>
          </w:rPr>
          <w:t>https</w:t>
        </w:r>
      </w:hyperlink>
      <w:hyperlink r:id="rId14" w:history="1">
        <w:r w:rsidRPr="003137A4">
          <w:rPr>
            <w:rStyle w:val="Hyperlink"/>
            <w:lang w:val="en-CA"/>
          </w:rPr>
          <w:t>://drugchecking.cdpe.org/#</w:t>
        </w:r>
      </w:hyperlink>
      <w:hyperlink r:id="rId15" w:history="1">
        <w:r w:rsidRPr="003137A4">
          <w:rPr>
            <w:rStyle w:val="Hyperlink"/>
            <w:lang w:val="en-CA"/>
          </w:rPr>
          <w:t>checked-samples-by-expected-drug</w:t>
        </w:r>
      </w:hyperlink>
      <w:r w:rsidRPr="003137A4">
        <w:rPr>
          <w:lang w:val="en-CA"/>
        </w:rPr>
        <w:t xml:space="preserve"> Accessed January 2023. </w:t>
      </w:r>
    </w:p>
    <w:p w14:paraId="4F577962" w14:textId="77777777" w:rsidR="00000000" w:rsidRPr="003137A4" w:rsidRDefault="00C63322" w:rsidP="003137A4">
      <w:pPr>
        <w:numPr>
          <w:ilvl w:val="0"/>
          <w:numId w:val="10"/>
        </w:numPr>
      </w:pPr>
      <w:r w:rsidRPr="003137A4">
        <w:rPr>
          <w:lang w:val="en-CA"/>
        </w:rPr>
        <w:t xml:space="preserve">Toronto’s Drug Checking Service. (2023). Available: </w:t>
      </w:r>
      <w:hyperlink r:id="rId16" w:history="1">
        <w:r w:rsidRPr="003137A4">
          <w:rPr>
            <w:rStyle w:val="Hyperlink"/>
            <w:lang w:val="en-CA"/>
          </w:rPr>
          <w:t>https</w:t>
        </w:r>
      </w:hyperlink>
      <w:hyperlink r:id="rId17" w:history="1">
        <w:r w:rsidRPr="003137A4">
          <w:rPr>
            <w:rStyle w:val="Hyperlink"/>
            <w:lang w:val="en-CA"/>
          </w:rPr>
          <w:t>://drugchecking.cdpe.org/#presence-of-the-expected-drug</w:t>
        </w:r>
      </w:hyperlink>
      <w:r w:rsidRPr="003137A4">
        <w:rPr>
          <w:lang w:val="en-CA"/>
        </w:rPr>
        <w:t xml:space="preserve"> . Accessed January 2023. </w:t>
      </w:r>
    </w:p>
    <w:p w14:paraId="69D87A05" w14:textId="77777777" w:rsidR="00000000" w:rsidRPr="003137A4" w:rsidRDefault="00C63322" w:rsidP="003137A4">
      <w:pPr>
        <w:numPr>
          <w:ilvl w:val="0"/>
          <w:numId w:val="10"/>
        </w:numPr>
      </w:pPr>
      <w:r w:rsidRPr="003137A4">
        <w:rPr>
          <w:lang w:val="en-CA"/>
        </w:rPr>
        <w:t xml:space="preserve">Toronto’s Drug Checking Service. (2023). Available: </w:t>
      </w:r>
      <w:hyperlink r:id="rId18" w:history="1">
        <w:r w:rsidRPr="003137A4">
          <w:rPr>
            <w:rStyle w:val="Hyperlink"/>
            <w:lang w:val="en-CA"/>
          </w:rPr>
          <w:t>https</w:t>
        </w:r>
      </w:hyperlink>
      <w:hyperlink r:id="rId19" w:history="1">
        <w:r w:rsidRPr="003137A4">
          <w:rPr>
            <w:rStyle w:val="Hyperlink"/>
            <w:lang w:val="en-CA"/>
          </w:rPr>
          <w:t>://drugchecking.cdpe.org/#</w:t>
        </w:r>
      </w:hyperlink>
      <w:hyperlink r:id="rId20" w:history="1">
        <w:r w:rsidRPr="003137A4">
          <w:rPr>
            <w:rStyle w:val="Hyperlink"/>
            <w:lang w:val="en-CA"/>
          </w:rPr>
          <w:t>other-drugs-found</w:t>
        </w:r>
      </w:hyperlink>
      <w:r w:rsidRPr="003137A4">
        <w:rPr>
          <w:lang w:val="en-CA"/>
        </w:rPr>
        <w:t xml:space="preserve">. Accessed January 2023. </w:t>
      </w:r>
    </w:p>
    <w:p w14:paraId="2DAC05F9" w14:textId="621139EB" w:rsidR="003137A4" w:rsidRDefault="003137A4" w:rsidP="003137A4">
      <w:r>
        <w:t xml:space="preserve">Note: </w:t>
      </w:r>
    </w:p>
    <w:p w14:paraId="17950C6D" w14:textId="11C49BBD" w:rsidR="003137A4" w:rsidRPr="00075CF1" w:rsidRDefault="003137A4" w:rsidP="003137A4">
      <w:r w:rsidRPr="003137A4">
        <w:t>This knowledge exchange activity is supported by Evidence Exchange Network (EENet), which is part of the Provincial System Support Program at the Centre for Addiction and Mental Health - “CAMH”. EENet has been made possible through a financial contribution from Ontario Health (“OH”). The views expressed herein do not necessarily represent the views of either OH or of CAMH.</w:t>
      </w:r>
    </w:p>
    <w:p w14:paraId="51447530" w14:textId="6AD54F0D" w:rsidR="003137A4" w:rsidRPr="003137A4" w:rsidRDefault="003137A4" w:rsidP="003137A4">
      <w:pPr>
        <w:rPr>
          <w:lang w:val="fr-CA"/>
        </w:rPr>
      </w:pPr>
      <w:bookmarkStart w:id="0" w:name="_GoBack"/>
      <w:bookmarkEnd w:id="0"/>
      <w:r>
        <w:pict w14:anchorId="3B98AA98">
          <v:rect id="_x0000_i1025" style="width:0;height:1.5pt" o:hralign="center" o:hrstd="t" o:hr="t" fillcolor="#a0a0a0" stroked="f"/>
        </w:pict>
      </w:r>
    </w:p>
    <w:p w14:paraId="5D644374" w14:textId="17C00D3B" w:rsidR="00075CF1" w:rsidRPr="003137A4" w:rsidRDefault="00A01696" w:rsidP="003137A4">
      <w:pPr>
        <w:pStyle w:val="Heading1"/>
      </w:pPr>
      <w:r w:rsidRPr="003137A4">
        <w:t>Approvisionnement non réglementé en opioïdes</w:t>
      </w:r>
      <w:r w:rsidR="00B83C14" w:rsidRPr="003137A4">
        <w:t> :</w:t>
      </w:r>
      <w:r w:rsidRPr="003137A4">
        <w:t xml:space="preserve"> comprendre ses effets sur la crise des intoxications </w:t>
      </w:r>
      <w:r w:rsidR="00CA2BAC" w:rsidRPr="003137A4">
        <w:t xml:space="preserve">aux drogues </w:t>
      </w:r>
      <w:r w:rsidRPr="003137A4">
        <w:t>en Ontario</w:t>
      </w:r>
      <w:r w:rsidR="00CA2BAC" w:rsidRPr="003137A4">
        <w:t xml:space="preserve"> </w:t>
      </w:r>
    </w:p>
    <w:p w14:paraId="0156CB06" w14:textId="731CC892" w:rsidR="00E33427" w:rsidRPr="00E85339" w:rsidRDefault="00CA2BAC" w:rsidP="003B4534">
      <w:pPr>
        <w:spacing w:before="240" w:after="0"/>
        <w:rPr>
          <w:lang w:val="fr-CA"/>
        </w:rPr>
      </w:pPr>
      <w:r w:rsidRPr="00E85339">
        <w:rPr>
          <w:lang w:val="fr-CA"/>
        </w:rPr>
        <w:t>A</w:t>
      </w:r>
      <w:r w:rsidR="00B83C14" w:rsidRPr="00E85339">
        <w:rPr>
          <w:lang w:val="fr-CA"/>
        </w:rPr>
        <w:t>u Canada</w:t>
      </w:r>
      <w:r w:rsidRPr="00E85339">
        <w:rPr>
          <w:lang w:val="fr-CA"/>
        </w:rPr>
        <w:t>,</w:t>
      </w:r>
      <w:r w:rsidR="00B83C14" w:rsidRPr="00E85339">
        <w:rPr>
          <w:lang w:val="fr-CA"/>
        </w:rPr>
        <w:t xml:space="preserve"> </w:t>
      </w:r>
      <w:r w:rsidRPr="00E85339">
        <w:rPr>
          <w:lang w:val="fr-CA"/>
        </w:rPr>
        <w:t xml:space="preserve">des produits </w:t>
      </w:r>
      <w:r w:rsidR="00896232" w:rsidRPr="00E85339">
        <w:rPr>
          <w:lang w:val="fr-CA"/>
        </w:rPr>
        <w:t>dont on ignore la</w:t>
      </w:r>
      <w:r w:rsidRPr="00E85339">
        <w:rPr>
          <w:lang w:val="fr-CA"/>
        </w:rPr>
        <w:t xml:space="preserve"> puissance </w:t>
      </w:r>
      <w:r w:rsidR="00896232" w:rsidRPr="00E85339">
        <w:rPr>
          <w:lang w:val="fr-CA"/>
        </w:rPr>
        <w:t xml:space="preserve">et qui sont souvent contaminés par des drogues </w:t>
      </w:r>
      <w:r w:rsidR="00A0368B" w:rsidRPr="00E85339">
        <w:rPr>
          <w:lang w:val="fr-CA"/>
        </w:rPr>
        <w:t>illicites</w:t>
      </w:r>
      <w:r w:rsidR="00896232" w:rsidRPr="00E85339">
        <w:rPr>
          <w:lang w:val="fr-CA"/>
        </w:rPr>
        <w:t xml:space="preserve"> et dangereuses </w:t>
      </w:r>
      <w:r w:rsidR="008E4372" w:rsidRPr="00E85339">
        <w:rPr>
          <w:lang w:val="fr-CA"/>
        </w:rPr>
        <w:t>circulent sur le</w:t>
      </w:r>
      <w:r w:rsidRPr="00E85339">
        <w:rPr>
          <w:lang w:val="fr-CA"/>
        </w:rPr>
        <w:t xml:space="preserve"> marché</w:t>
      </w:r>
      <w:r w:rsidR="00896232" w:rsidRPr="00E85339">
        <w:rPr>
          <w:lang w:val="fr-CA"/>
        </w:rPr>
        <w:t xml:space="preserve"> </w:t>
      </w:r>
      <w:r w:rsidRPr="00E85339">
        <w:rPr>
          <w:lang w:val="fr-CA"/>
        </w:rPr>
        <w:t>non réglementé des drogues</w:t>
      </w:r>
      <w:r w:rsidR="00B83C14" w:rsidRPr="00E85339">
        <w:rPr>
          <w:lang w:val="fr-CA"/>
        </w:rPr>
        <w:t xml:space="preserve">. </w:t>
      </w:r>
      <w:r w:rsidR="00896232" w:rsidRPr="00E85339">
        <w:rPr>
          <w:lang w:val="fr-CA"/>
        </w:rPr>
        <w:t xml:space="preserve">Quiconque </w:t>
      </w:r>
      <w:r w:rsidR="00B83C14" w:rsidRPr="00E85339">
        <w:rPr>
          <w:lang w:val="fr-CA"/>
        </w:rPr>
        <w:t xml:space="preserve">achète des </w:t>
      </w:r>
      <w:r w:rsidR="00896232" w:rsidRPr="00E85339">
        <w:rPr>
          <w:lang w:val="fr-CA"/>
        </w:rPr>
        <w:t>drogues</w:t>
      </w:r>
      <w:r w:rsidR="00B83C14" w:rsidRPr="00E85339">
        <w:rPr>
          <w:lang w:val="fr-CA"/>
        </w:rPr>
        <w:t xml:space="preserve"> sur </w:t>
      </w:r>
      <w:r w:rsidR="00896232" w:rsidRPr="00E85339">
        <w:rPr>
          <w:lang w:val="fr-CA"/>
        </w:rPr>
        <w:t>ce marché</w:t>
      </w:r>
      <w:r w:rsidR="00B83C14" w:rsidRPr="00E85339">
        <w:rPr>
          <w:lang w:val="fr-CA"/>
        </w:rPr>
        <w:t xml:space="preserve"> </w:t>
      </w:r>
      <w:r w:rsidR="00896232" w:rsidRPr="00E85339">
        <w:rPr>
          <w:lang w:val="fr-CA"/>
        </w:rPr>
        <w:t>non réglementé s’expose à un</w:t>
      </w:r>
      <w:r w:rsidR="00B83C14" w:rsidRPr="00E85339">
        <w:rPr>
          <w:lang w:val="fr-CA"/>
        </w:rPr>
        <w:t xml:space="preserve"> risque élevé d</w:t>
      </w:r>
      <w:r w:rsidR="00896232" w:rsidRPr="00E85339">
        <w:rPr>
          <w:lang w:val="fr-CA"/>
        </w:rPr>
        <w:t>’</w:t>
      </w:r>
      <w:r w:rsidR="00B83C14" w:rsidRPr="00E85339">
        <w:rPr>
          <w:lang w:val="fr-CA"/>
        </w:rPr>
        <w:t xml:space="preserve">intoxication mortelle. </w:t>
      </w:r>
      <w:r w:rsidR="00E33427" w:rsidRPr="00E85339">
        <w:rPr>
          <w:lang w:val="fr-CA"/>
        </w:rPr>
        <w:t>L’approvisionnement non réglementé</w:t>
      </w:r>
      <w:r w:rsidR="00B81584" w:rsidRPr="00E85339">
        <w:rPr>
          <w:lang w:val="fr-CA"/>
        </w:rPr>
        <w:t xml:space="preserve"> en drogues</w:t>
      </w:r>
      <w:r w:rsidR="00E33427" w:rsidRPr="00E85339">
        <w:rPr>
          <w:lang w:val="fr-CA"/>
        </w:rPr>
        <w:t xml:space="preserve">, qui se caractérise par sa dangerosité et son </w:t>
      </w:r>
      <w:r w:rsidR="00B83C14" w:rsidRPr="00E85339">
        <w:rPr>
          <w:lang w:val="fr-CA"/>
        </w:rPr>
        <w:lastRenderedPageBreak/>
        <w:t>imprévisibilité</w:t>
      </w:r>
      <w:r w:rsidR="00E33427" w:rsidRPr="00E85339">
        <w:rPr>
          <w:lang w:val="fr-CA"/>
        </w:rPr>
        <w:t xml:space="preserve">, est pour une large part à l’origine de l’augmentation </w:t>
      </w:r>
      <w:r w:rsidR="00B83C14" w:rsidRPr="00E85339">
        <w:rPr>
          <w:lang w:val="fr-CA"/>
        </w:rPr>
        <w:t xml:space="preserve">du nombre </w:t>
      </w:r>
      <w:r w:rsidR="006D0FFA" w:rsidRPr="00E85339">
        <w:rPr>
          <w:lang w:val="fr-CA"/>
        </w:rPr>
        <w:t xml:space="preserve">des décès par </w:t>
      </w:r>
      <w:r w:rsidR="00B83C14" w:rsidRPr="00E85339">
        <w:rPr>
          <w:lang w:val="fr-CA"/>
        </w:rPr>
        <w:t xml:space="preserve">intoxication en Ontario, </w:t>
      </w:r>
      <w:r w:rsidR="00E33427" w:rsidRPr="00E85339">
        <w:rPr>
          <w:lang w:val="fr-CA"/>
        </w:rPr>
        <w:t>soit huit par jour à l’heure actuelle</w:t>
      </w:r>
      <w:r w:rsidR="00B83C14" w:rsidRPr="00E85339">
        <w:rPr>
          <w:lang w:val="fr-CA"/>
        </w:rPr>
        <w:t>.</w:t>
      </w:r>
      <w:r w:rsidR="006D0FFA" w:rsidRPr="00E85339">
        <w:rPr>
          <w:rStyle w:val="Hyperlink"/>
          <w:rFonts w:ascii="Roboto" w:hAnsi="Roboto"/>
          <w:color w:val="767676"/>
          <w:sz w:val="21"/>
          <w:szCs w:val="21"/>
          <w:shd w:val="clear" w:color="auto" w:fill="FFFFFF"/>
          <w:lang w:val="fr-CA"/>
        </w:rPr>
        <w:t xml:space="preserve"> </w:t>
      </w:r>
    </w:p>
    <w:p w14:paraId="76BA475D" w14:textId="43F13F20" w:rsidR="003B4534" w:rsidRDefault="00C06E27">
      <w:pPr>
        <w:rPr>
          <w:lang w:val="fr-CA"/>
        </w:rPr>
      </w:pPr>
      <w:r w:rsidRPr="00E85339">
        <w:rPr>
          <w:lang w:val="fr-CA"/>
        </w:rPr>
        <w:t>De</w:t>
      </w:r>
      <w:r w:rsidR="00B83C14" w:rsidRPr="00E85339">
        <w:rPr>
          <w:lang w:val="fr-CA"/>
        </w:rPr>
        <w:t>p</w:t>
      </w:r>
      <w:r w:rsidRPr="00E85339">
        <w:rPr>
          <w:lang w:val="fr-CA"/>
        </w:rPr>
        <w:t>uis</w:t>
      </w:r>
      <w:r w:rsidR="00075CF1" w:rsidRPr="00E85339">
        <w:rPr>
          <w:lang w:val="fr-CA"/>
        </w:rPr>
        <w:t xml:space="preserve"> 2019,</w:t>
      </w:r>
      <w:r w:rsidR="00C97BDD" w:rsidRPr="00E85339">
        <w:rPr>
          <w:lang w:val="fr-CA"/>
        </w:rPr>
        <w:t xml:space="preserve"> le</w:t>
      </w:r>
      <w:r w:rsidR="00075CF1" w:rsidRPr="00E85339">
        <w:rPr>
          <w:lang w:val="fr-CA"/>
        </w:rPr>
        <w:t xml:space="preserve"> </w:t>
      </w:r>
      <w:hyperlink r:id="rId21" w:history="1">
        <w:r w:rsidR="00E33427" w:rsidRPr="00E85339">
          <w:rPr>
            <w:rStyle w:val="Hyperlink"/>
            <w:lang w:val="fr-CA"/>
          </w:rPr>
          <w:t xml:space="preserve">service de </w:t>
        </w:r>
        <w:r w:rsidR="000E42DF" w:rsidRPr="00E85339">
          <w:rPr>
            <w:rStyle w:val="Hyperlink"/>
            <w:lang w:val="fr-CA"/>
          </w:rPr>
          <w:t>contrôle</w:t>
        </w:r>
        <w:r w:rsidR="00E33427" w:rsidRPr="00E85339">
          <w:rPr>
            <w:rStyle w:val="Hyperlink"/>
            <w:lang w:val="fr-CA"/>
          </w:rPr>
          <w:t xml:space="preserve"> des drogues de Toronto</w:t>
        </w:r>
      </w:hyperlink>
      <w:r w:rsidR="00E33427" w:rsidRPr="00E85339">
        <w:rPr>
          <w:rStyle w:val="Hyperlink"/>
          <w:u w:val="none"/>
          <w:lang w:val="fr-CA"/>
        </w:rPr>
        <w:t xml:space="preserve"> </w:t>
      </w:r>
      <w:r w:rsidR="00E33427" w:rsidRPr="00E85339">
        <w:rPr>
          <w:rFonts w:cstheme="minorHAnsi"/>
          <w:lang w:val="fr-CA"/>
        </w:rPr>
        <w:t>[en anglais]</w:t>
      </w:r>
      <w:r w:rsidR="00602A73" w:rsidRPr="00E85339">
        <w:rPr>
          <w:rFonts w:cstheme="minorHAnsi"/>
          <w:lang w:val="fr-CA"/>
        </w:rPr>
        <w:t>, un</w:t>
      </w:r>
      <w:r w:rsidR="00E33427" w:rsidRPr="00E85339">
        <w:rPr>
          <w:rFonts w:cstheme="minorHAnsi"/>
          <w:lang w:val="fr-CA"/>
        </w:rPr>
        <w:t xml:space="preserve"> </w:t>
      </w:r>
      <w:r w:rsidR="00602A73" w:rsidRPr="00E85339">
        <w:rPr>
          <w:lang w:val="fr-CA"/>
        </w:rPr>
        <w:t xml:space="preserve">service gratuit et anonyme de santé publique, surveille et analyse </w:t>
      </w:r>
      <w:r w:rsidR="00C97BDD" w:rsidRPr="00E85339">
        <w:rPr>
          <w:lang w:val="fr-CA"/>
        </w:rPr>
        <w:t>de manière systématique</w:t>
      </w:r>
      <w:r w:rsidR="00075CF1" w:rsidRPr="00E85339">
        <w:rPr>
          <w:lang w:val="fr-CA"/>
        </w:rPr>
        <w:t xml:space="preserve"> </w:t>
      </w:r>
      <w:r w:rsidR="00602A73" w:rsidRPr="00E85339">
        <w:rPr>
          <w:lang w:val="fr-CA"/>
        </w:rPr>
        <w:t>les drogues achetées dans les rues de la ville</w:t>
      </w:r>
      <w:r w:rsidR="00075CF1" w:rsidRPr="00E85339">
        <w:rPr>
          <w:lang w:val="fr-CA"/>
        </w:rPr>
        <w:t>.</w:t>
      </w:r>
      <w:r w:rsidR="00602A73" w:rsidRPr="00E85339">
        <w:rPr>
          <w:lang w:val="fr-CA"/>
        </w:rPr>
        <w:t xml:space="preserve"> Les résultats de ce service, que subventionne</w:t>
      </w:r>
      <w:r w:rsidR="00075CF1" w:rsidRPr="00E85339">
        <w:rPr>
          <w:lang w:val="fr-CA"/>
        </w:rPr>
        <w:t xml:space="preserve"> </w:t>
      </w:r>
      <w:r w:rsidR="00602A73" w:rsidRPr="00E85339">
        <w:rPr>
          <w:lang w:val="fr-CA"/>
        </w:rPr>
        <w:t>Santé Canada, montre</w:t>
      </w:r>
      <w:r w:rsidR="005D7C21">
        <w:rPr>
          <w:lang w:val="fr-CA"/>
        </w:rPr>
        <w:t>nt</w:t>
      </w:r>
      <w:r w:rsidR="00602A73" w:rsidRPr="00E85339">
        <w:rPr>
          <w:lang w:val="fr-CA"/>
        </w:rPr>
        <w:t xml:space="preserve"> clairement que </w:t>
      </w:r>
      <w:r w:rsidR="00A0368B" w:rsidRPr="00E85339">
        <w:rPr>
          <w:b/>
          <w:bCs/>
          <w:lang w:val="fr-CA"/>
        </w:rPr>
        <w:t>la composition</w:t>
      </w:r>
      <w:r w:rsidR="000E42DF" w:rsidRPr="00E85339">
        <w:rPr>
          <w:b/>
          <w:bCs/>
          <w:lang w:val="fr-CA"/>
        </w:rPr>
        <w:t xml:space="preserve"> de</w:t>
      </w:r>
      <w:r w:rsidR="00602A73" w:rsidRPr="00E85339">
        <w:rPr>
          <w:b/>
          <w:bCs/>
          <w:lang w:val="fr-CA"/>
        </w:rPr>
        <w:t>s</w:t>
      </w:r>
      <w:r w:rsidR="00075CF1" w:rsidRPr="00E85339">
        <w:rPr>
          <w:b/>
          <w:bCs/>
          <w:lang w:val="fr-CA"/>
        </w:rPr>
        <w:t xml:space="preserve"> </w:t>
      </w:r>
      <w:r w:rsidR="00113E3F" w:rsidRPr="00E85339">
        <w:rPr>
          <w:b/>
          <w:bCs/>
          <w:lang w:val="fr-CA"/>
        </w:rPr>
        <w:t>opioïdes</w:t>
      </w:r>
      <w:r w:rsidR="00075CF1" w:rsidRPr="00E85339">
        <w:rPr>
          <w:b/>
          <w:bCs/>
          <w:lang w:val="fr-CA"/>
        </w:rPr>
        <w:t xml:space="preserve"> </w:t>
      </w:r>
      <w:r w:rsidR="00602A73" w:rsidRPr="00E85339">
        <w:rPr>
          <w:b/>
          <w:bCs/>
          <w:lang w:val="fr-CA"/>
        </w:rPr>
        <w:t xml:space="preserve">que les gens </w:t>
      </w:r>
      <w:r w:rsidR="00444F7A" w:rsidRPr="00E85339">
        <w:rPr>
          <w:b/>
          <w:bCs/>
          <w:lang w:val="fr-CA"/>
        </w:rPr>
        <w:t>achètent</w:t>
      </w:r>
      <w:r w:rsidR="00602A73" w:rsidRPr="00E85339">
        <w:rPr>
          <w:b/>
          <w:bCs/>
          <w:lang w:val="fr-CA"/>
        </w:rPr>
        <w:t xml:space="preserve"> </w:t>
      </w:r>
      <w:r w:rsidR="00444F7A" w:rsidRPr="00E85339">
        <w:rPr>
          <w:b/>
          <w:bCs/>
          <w:i/>
          <w:iCs/>
          <w:lang w:val="fr-CA"/>
        </w:rPr>
        <w:t xml:space="preserve">ne </w:t>
      </w:r>
      <w:r w:rsidR="000E42DF" w:rsidRPr="00E85339">
        <w:rPr>
          <w:b/>
          <w:bCs/>
          <w:i/>
          <w:iCs/>
          <w:lang w:val="fr-CA"/>
        </w:rPr>
        <w:t xml:space="preserve">correspond </w:t>
      </w:r>
      <w:r w:rsidR="00444F7A" w:rsidRPr="00E85339">
        <w:rPr>
          <w:b/>
          <w:bCs/>
          <w:i/>
          <w:iCs/>
          <w:lang w:val="fr-CA"/>
        </w:rPr>
        <w:t>pas</w:t>
      </w:r>
      <w:r w:rsidR="00075CF1" w:rsidRPr="00E85339">
        <w:rPr>
          <w:b/>
          <w:bCs/>
          <w:i/>
          <w:iCs/>
          <w:lang w:val="fr-CA"/>
        </w:rPr>
        <w:t xml:space="preserve"> </w:t>
      </w:r>
      <w:r w:rsidR="000E42DF" w:rsidRPr="00E85339">
        <w:rPr>
          <w:b/>
          <w:bCs/>
          <w:lang w:val="fr-CA"/>
        </w:rPr>
        <w:t>à ce qu’ils attendent</w:t>
      </w:r>
      <w:r w:rsidR="00075CF1" w:rsidRPr="00E85339">
        <w:rPr>
          <w:b/>
          <w:bCs/>
          <w:lang w:val="fr-CA"/>
        </w:rPr>
        <w:t xml:space="preserve">. </w:t>
      </w:r>
      <w:r w:rsidR="00444F7A" w:rsidRPr="00E85339">
        <w:rPr>
          <w:lang w:val="fr-CA"/>
        </w:rPr>
        <w:t>Vous trouverez ci</w:t>
      </w:r>
      <w:r w:rsidR="000E42DF" w:rsidRPr="00E85339">
        <w:rPr>
          <w:lang w:val="fr-CA"/>
        </w:rPr>
        <w:noBreakHyphen/>
      </w:r>
      <w:r w:rsidR="00444F7A" w:rsidRPr="00E85339">
        <w:rPr>
          <w:lang w:val="fr-CA"/>
        </w:rPr>
        <w:t xml:space="preserve">dessous un aperçu </w:t>
      </w:r>
      <w:r w:rsidR="000E42DF" w:rsidRPr="00E85339">
        <w:rPr>
          <w:lang w:val="fr-CA"/>
        </w:rPr>
        <w:t>des</w:t>
      </w:r>
      <w:r w:rsidR="00444F7A" w:rsidRPr="00E85339">
        <w:rPr>
          <w:lang w:val="fr-CA"/>
        </w:rPr>
        <w:t xml:space="preserve"> données</w:t>
      </w:r>
      <w:r w:rsidR="000E42DF" w:rsidRPr="00E85339">
        <w:rPr>
          <w:lang w:val="fr-CA"/>
        </w:rPr>
        <w:t xml:space="preserve"> du service</w:t>
      </w:r>
      <w:r w:rsidR="00444F7A" w:rsidRPr="00E85339">
        <w:rPr>
          <w:lang w:val="fr-CA"/>
        </w:rPr>
        <w:t xml:space="preserve">. </w:t>
      </w:r>
      <w:r w:rsidR="00075CF1" w:rsidRPr="00E85339">
        <w:rPr>
          <w:noProof/>
        </w:rPr>
        <w:drawing>
          <wp:inline distT="0" distB="0" distL="0" distR="0" wp14:anchorId="37EF1125" wp14:editId="358D1B3E">
            <wp:extent cx="3588385" cy="3457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2C3051" w14:textId="77777777" w:rsidR="003B4534" w:rsidRPr="00E85339" w:rsidRDefault="003B4534" w:rsidP="003B4534">
      <w:pPr>
        <w:rPr>
          <w:b/>
          <w:bCs/>
          <w:lang w:val="fr-CA"/>
        </w:rPr>
      </w:pPr>
      <w:r w:rsidRPr="00E85339">
        <w:rPr>
          <w:lang w:val="fr-CA"/>
        </w:rPr>
        <w:t xml:space="preserve">Nombre total d’échantillons de drogues qui ont été vérifiés (octobre 2019-décembre 2022) : </w:t>
      </w:r>
      <w:r w:rsidRPr="00E85339">
        <w:rPr>
          <w:b/>
          <w:bCs/>
          <w:lang w:val="fr-CA"/>
        </w:rPr>
        <w:t>8</w:t>
      </w:r>
      <w:r>
        <w:rPr>
          <w:b/>
          <w:bCs/>
          <w:lang w:val="fr-CA"/>
        </w:rPr>
        <w:t> </w:t>
      </w:r>
      <w:r w:rsidRPr="00E85339">
        <w:rPr>
          <w:b/>
          <w:bCs/>
          <w:lang w:val="fr-CA"/>
        </w:rPr>
        <w:t>097</w:t>
      </w:r>
    </w:p>
    <w:p w14:paraId="30468205" w14:textId="77777777" w:rsidR="003B4534" w:rsidRPr="00E85339" w:rsidRDefault="003B4534" w:rsidP="003B4534">
      <w:pPr>
        <w:rPr>
          <w:lang w:val="fr-CA"/>
        </w:rPr>
      </w:pPr>
      <w:r w:rsidRPr="00E85339">
        <w:rPr>
          <w:b/>
          <w:bCs/>
          <w:lang w:val="fr-CA"/>
        </w:rPr>
        <w:t>3</w:t>
      </w:r>
      <w:r>
        <w:rPr>
          <w:b/>
          <w:bCs/>
          <w:lang w:val="fr-CA"/>
        </w:rPr>
        <w:t> </w:t>
      </w:r>
      <w:r w:rsidRPr="00E85339">
        <w:rPr>
          <w:b/>
          <w:bCs/>
          <w:lang w:val="fr-CA"/>
        </w:rPr>
        <w:t xml:space="preserve">676 échantillons étaient censés se composer uniquement de fentanyl, alors </w:t>
      </w:r>
      <w:r w:rsidRPr="00E85339">
        <w:rPr>
          <w:b/>
          <w:bCs/>
          <w:i/>
          <w:iCs/>
          <w:lang w:val="fr-CA"/>
        </w:rPr>
        <w:t>qu’en fait</w:t>
      </w:r>
      <w:r w:rsidRPr="00E85339">
        <w:rPr>
          <w:b/>
          <w:bCs/>
          <w:lang w:val="fr-CA"/>
        </w:rPr>
        <w:t xml:space="preserve"> ce n’était le cas que pour 3 % des échantillons. </w:t>
      </w:r>
    </w:p>
    <w:p w14:paraId="2F1C5D18" w14:textId="77777777" w:rsidR="00611977" w:rsidRPr="003B4534" w:rsidRDefault="00C63322" w:rsidP="003B4534">
      <w:pPr>
        <w:rPr>
          <w:lang w:val="fr-CA"/>
        </w:rPr>
      </w:pPr>
    </w:p>
    <w:p w14:paraId="6350B7EA" w14:textId="77777777" w:rsidR="00075CF1" w:rsidRPr="00E85339" w:rsidRDefault="00075CF1">
      <w:pPr>
        <w:rPr>
          <w:lang w:val="fr-CA"/>
        </w:rPr>
      </w:pPr>
      <w:r w:rsidRPr="00E85339">
        <w:rPr>
          <w:noProof/>
        </w:rPr>
        <w:lastRenderedPageBreak/>
        <w:drawing>
          <wp:inline distT="0" distB="0" distL="0" distR="0" wp14:anchorId="448A0B64" wp14:editId="7A8EDA2D">
            <wp:extent cx="5838825" cy="3743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AC7309" w14:textId="77777777" w:rsidR="00075CF1" w:rsidRPr="00E85339" w:rsidRDefault="00075CF1" w:rsidP="00075CF1">
      <w:pPr>
        <w:rPr>
          <w:lang w:val="fr-CA"/>
        </w:rPr>
      </w:pPr>
    </w:p>
    <w:p w14:paraId="34C5F0BE" w14:textId="795C6D6F" w:rsidR="00075CF1" w:rsidRPr="003137A4" w:rsidRDefault="00444F7A" w:rsidP="003137A4">
      <w:pPr>
        <w:pStyle w:val="Heading2"/>
      </w:pPr>
      <w:r w:rsidRPr="003137A4">
        <w:t xml:space="preserve">Autres drogues </w:t>
      </w:r>
      <w:r w:rsidR="001762C8" w:rsidRPr="003137A4">
        <w:t>présentes</w:t>
      </w:r>
      <w:r w:rsidRPr="003137A4">
        <w:t xml:space="preserve"> dans des </w:t>
      </w:r>
      <w:r w:rsidR="008E4372" w:rsidRPr="003137A4">
        <w:t>échantillons</w:t>
      </w:r>
      <w:r w:rsidR="00075CF1" w:rsidRPr="003137A4">
        <w:t xml:space="preserve"> </w:t>
      </w:r>
      <w:r w:rsidRPr="003137A4">
        <w:t>de soi-disant</w:t>
      </w:r>
      <w:r w:rsidR="00075CF1" w:rsidRPr="003137A4">
        <w:t xml:space="preserve"> fentanyl3</w:t>
      </w:r>
    </w:p>
    <w:p w14:paraId="28B18603" w14:textId="049C1B45" w:rsidR="00075CF1" w:rsidRPr="00E85339" w:rsidRDefault="00075CF1" w:rsidP="003B4534">
      <w:pPr>
        <w:spacing w:before="240"/>
        <w:rPr>
          <w:lang w:val="fr-CA"/>
        </w:rPr>
      </w:pPr>
      <w:r w:rsidRPr="00E85339">
        <w:rPr>
          <w:b/>
          <w:bCs/>
          <w:lang w:val="fr-CA"/>
        </w:rPr>
        <w:t>1</w:t>
      </w:r>
      <w:r w:rsidR="005D7C21">
        <w:rPr>
          <w:b/>
          <w:bCs/>
          <w:lang w:val="fr-CA"/>
        </w:rPr>
        <w:t> </w:t>
      </w:r>
      <w:r w:rsidRPr="00E85339">
        <w:rPr>
          <w:b/>
          <w:bCs/>
          <w:lang w:val="fr-CA"/>
        </w:rPr>
        <w:t xml:space="preserve">611 </w:t>
      </w:r>
      <w:r w:rsidR="008E4372" w:rsidRPr="00E85339">
        <w:rPr>
          <w:b/>
          <w:bCs/>
          <w:lang w:val="fr-CA"/>
        </w:rPr>
        <w:t>échantillons</w:t>
      </w:r>
      <w:r w:rsidRPr="00E85339">
        <w:rPr>
          <w:b/>
          <w:bCs/>
          <w:lang w:val="fr-CA"/>
        </w:rPr>
        <w:t xml:space="preserve"> </w:t>
      </w:r>
      <w:r w:rsidR="00444F7A" w:rsidRPr="00E85339">
        <w:rPr>
          <w:b/>
          <w:bCs/>
          <w:lang w:val="fr-CA"/>
        </w:rPr>
        <w:t xml:space="preserve">contenaient des </w:t>
      </w:r>
      <w:r w:rsidR="00113E3F" w:rsidRPr="00E85339">
        <w:rPr>
          <w:b/>
          <w:bCs/>
          <w:lang w:val="fr-CA"/>
        </w:rPr>
        <w:t>substances liées au fentanyl</w:t>
      </w:r>
      <w:r w:rsidRPr="00E85339">
        <w:rPr>
          <w:b/>
          <w:bCs/>
          <w:lang w:val="fr-CA"/>
        </w:rPr>
        <w:t xml:space="preserve"> </w:t>
      </w:r>
      <w:r w:rsidR="00444F7A" w:rsidRPr="00E85339">
        <w:rPr>
          <w:b/>
          <w:bCs/>
          <w:lang w:val="fr-CA"/>
        </w:rPr>
        <w:t>et d’autres</w:t>
      </w:r>
      <w:r w:rsidRPr="00E85339">
        <w:rPr>
          <w:b/>
          <w:bCs/>
          <w:lang w:val="fr-CA"/>
        </w:rPr>
        <w:t xml:space="preserve"> </w:t>
      </w:r>
      <w:r w:rsidR="00113E3F" w:rsidRPr="00E85339">
        <w:rPr>
          <w:b/>
          <w:bCs/>
          <w:lang w:val="fr-CA"/>
        </w:rPr>
        <w:t xml:space="preserve">opioïdes </w:t>
      </w:r>
      <w:r w:rsidR="000A4A63" w:rsidRPr="00E85339">
        <w:rPr>
          <w:b/>
          <w:bCs/>
          <w:lang w:val="fr-CA"/>
        </w:rPr>
        <w:t>synthétiques</w:t>
      </w:r>
      <w:r w:rsidR="00113E3F" w:rsidRPr="00E85339">
        <w:rPr>
          <w:b/>
          <w:bCs/>
          <w:lang w:val="fr-CA"/>
        </w:rPr>
        <w:t xml:space="preserve"> </w:t>
      </w:r>
      <w:r w:rsidR="00444F7A" w:rsidRPr="00E85339">
        <w:rPr>
          <w:b/>
          <w:bCs/>
          <w:lang w:val="fr-CA"/>
        </w:rPr>
        <w:t>puissants</w:t>
      </w:r>
      <w:r w:rsidRPr="00E85339">
        <w:rPr>
          <w:b/>
          <w:bCs/>
          <w:lang w:val="fr-CA"/>
        </w:rPr>
        <w:t>.</w:t>
      </w:r>
    </w:p>
    <w:p w14:paraId="3D6EE487" w14:textId="702F72A8" w:rsidR="00017D99" w:rsidRPr="00E85339" w:rsidRDefault="00444F7A" w:rsidP="00075CF1">
      <w:pPr>
        <w:numPr>
          <w:ilvl w:val="0"/>
          <w:numId w:val="1"/>
        </w:numPr>
        <w:rPr>
          <w:lang w:val="fr-CA"/>
        </w:rPr>
      </w:pPr>
      <w:r w:rsidRPr="00E85339">
        <w:rPr>
          <w:lang w:val="fr-CA"/>
        </w:rPr>
        <w:t xml:space="preserve">Des </w:t>
      </w:r>
      <w:r w:rsidR="004400DF" w:rsidRPr="00E85339">
        <w:rPr>
          <w:lang w:val="fr-CA"/>
        </w:rPr>
        <w:t xml:space="preserve">opioïdes </w:t>
      </w:r>
      <w:r w:rsidR="000A4A63" w:rsidRPr="00E85339">
        <w:rPr>
          <w:lang w:val="fr-CA"/>
        </w:rPr>
        <w:t>synthétiques</w:t>
      </w:r>
      <w:r w:rsidRPr="00E85339">
        <w:rPr>
          <w:lang w:val="fr-CA"/>
        </w:rPr>
        <w:t xml:space="preserve"> très puissants</w:t>
      </w:r>
      <w:r w:rsidR="00A30F31" w:rsidRPr="00E85339">
        <w:rPr>
          <w:lang w:val="fr-CA"/>
        </w:rPr>
        <w:t>, comme les</w:t>
      </w:r>
      <w:r w:rsidR="008D7C78" w:rsidRPr="00E85339">
        <w:rPr>
          <w:lang w:val="fr-CA"/>
        </w:rPr>
        <w:t xml:space="preserve"> nitaz</w:t>
      </w:r>
      <w:r w:rsidR="00A30F31" w:rsidRPr="00E85339">
        <w:rPr>
          <w:lang w:val="fr-CA"/>
        </w:rPr>
        <w:t>è</w:t>
      </w:r>
      <w:r w:rsidR="008D7C78" w:rsidRPr="00E85339">
        <w:rPr>
          <w:lang w:val="fr-CA"/>
        </w:rPr>
        <w:t>ne</w:t>
      </w:r>
      <w:r w:rsidR="00A30F31" w:rsidRPr="00E85339">
        <w:rPr>
          <w:lang w:val="fr-CA"/>
        </w:rPr>
        <w:t>s</w:t>
      </w:r>
      <w:r w:rsidR="008D7C78" w:rsidRPr="00E85339">
        <w:rPr>
          <w:lang w:val="fr-CA"/>
        </w:rPr>
        <w:t xml:space="preserve"> (</w:t>
      </w:r>
      <w:r w:rsidRPr="00E85339">
        <w:rPr>
          <w:lang w:val="fr-CA"/>
        </w:rPr>
        <w:t xml:space="preserve">jusqu’à dix fois plus </w:t>
      </w:r>
      <w:r w:rsidR="000E42DF" w:rsidRPr="00E85339">
        <w:rPr>
          <w:lang w:val="fr-CA"/>
        </w:rPr>
        <w:t>puissants</w:t>
      </w:r>
      <w:r w:rsidRPr="00E85339">
        <w:rPr>
          <w:lang w:val="fr-CA"/>
        </w:rPr>
        <w:t xml:space="preserve"> que le</w:t>
      </w:r>
      <w:r w:rsidR="008D7C78" w:rsidRPr="00E85339">
        <w:rPr>
          <w:lang w:val="fr-CA"/>
        </w:rPr>
        <w:t xml:space="preserve"> fentanyl) </w:t>
      </w:r>
      <w:r w:rsidRPr="00E85339">
        <w:rPr>
          <w:lang w:val="fr-CA"/>
        </w:rPr>
        <w:t>et</w:t>
      </w:r>
      <w:r w:rsidR="008D7C78" w:rsidRPr="00E85339">
        <w:rPr>
          <w:lang w:val="fr-CA"/>
        </w:rPr>
        <w:t xml:space="preserve"> </w:t>
      </w:r>
      <w:r w:rsidR="000E42DF" w:rsidRPr="00E85339">
        <w:rPr>
          <w:lang w:val="fr-CA"/>
        </w:rPr>
        <w:t xml:space="preserve">le </w:t>
      </w:r>
      <w:r w:rsidR="008D7C78" w:rsidRPr="00E85339">
        <w:rPr>
          <w:lang w:val="fr-CA"/>
        </w:rPr>
        <w:t>carfentanil (</w:t>
      </w:r>
      <w:r w:rsidR="000E42DF" w:rsidRPr="00E85339">
        <w:rPr>
          <w:lang w:val="fr-CA"/>
        </w:rPr>
        <w:t>100 fois plus puissant que le fentanyl</w:t>
      </w:r>
      <w:r w:rsidR="008D7C78" w:rsidRPr="00E85339">
        <w:rPr>
          <w:lang w:val="fr-CA"/>
        </w:rPr>
        <w:t>)</w:t>
      </w:r>
      <w:r w:rsidR="001762C8" w:rsidRPr="00E85339">
        <w:rPr>
          <w:lang w:val="fr-CA"/>
        </w:rPr>
        <w:t>,</w:t>
      </w:r>
      <w:r w:rsidR="008D7C78" w:rsidRPr="00E85339">
        <w:rPr>
          <w:lang w:val="fr-CA"/>
        </w:rPr>
        <w:t xml:space="preserve"> </w:t>
      </w:r>
      <w:r w:rsidR="00722417" w:rsidRPr="00E85339">
        <w:rPr>
          <w:lang w:val="fr-CA"/>
        </w:rPr>
        <w:t xml:space="preserve">apparaissent constamment dans </w:t>
      </w:r>
      <w:r w:rsidR="001762C8" w:rsidRPr="00E85339">
        <w:rPr>
          <w:color w:val="101010"/>
          <w:lang w:val="fr-CA"/>
        </w:rPr>
        <w:t xml:space="preserve">l’approvisionnement non réglementé en </w:t>
      </w:r>
      <w:r w:rsidR="001762C8" w:rsidRPr="00E85339">
        <w:rPr>
          <w:lang w:val="fr-CA"/>
        </w:rPr>
        <w:t>opioïdes</w:t>
      </w:r>
      <w:r w:rsidR="008D7C78" w:rsidRPr="00E85339">
        <w:rPr>
          <w:lang w:val="fr-CA"/>
        </w:rPr>
        <w:t>.</w:t>
      </w:r>
    </w:p>
    <w:p w14:paraId="6241D4CD" w14:textId="182E2637" w:rsidR="00017D99" w:rsidRPr="00E85339" w:rsidRDefault="00722417" w:rsidP="00075CF1">
      <w:pPr>
        <w:numPr>
          <w:ilvl w:val="0"/>
          <w:numId w:val="1"/>
        </w:numPr>
        <w:rPr>
          <w:lang w:val="fr-CA"/>
        </w:rPr>
      </w:pPr>
      <w:r w:rsidRPr="00E85339">
        <w:rPr>
          <w:lang w:val="fr-CA"/>
        </w:rPr>
        <w:t>Des i</w:t>
      </w:r>
      <w:r w:rsidR="008D7C78" w:rsidRPr="00E85339">
        <w:rPr>
          <w:lang w:val="fr-CA"/>
        </w:rPr>
        <w:t>nformation</w:t>
      </w:r>
      <w:r w:rsidRPr="00E85339">
        <w:rPr>
          <w:lang w:val="fr-CA"/>
        </w:rPr>
        <w:t>s</w:t>
      </w:r>
      <w:r w:rsidR="008D7C78" w:rsidRPr="00E85339">
        <w:rPr>
          <w:lang w:val="fr-CA"/>
        </w:rPr>
        <w:t xml:space="preserve"> </w:t>
      </w:r>
      <w:r w:rsidRPr="00E85339">
        <w:rPr>
          <w:lang w:val="fr-CA"/>
        </w:rPr>
        <w:t>sur la</w:t>
      </w:r>
      <w:r w:rsidR="008D7C78" w:rsidRPr="00E85339">
        <w:rPr>
          <w:lang w:val="fr-CA"/>
        </w:rPr>
        <w:t xml:space="preserve"> </w:t>
      </w:r>
      <w:r w:rsidR="000E42DF" w:rsidRPr="00E85339">
        <w:rPr>
          <w:lang w:val="fr-CA"/>
        </w:rPr>
        <w:t>présence</w:t>
      </w:r>
      <w:r w:rsidR="008D7C78" w:rsidRPr="00E85339">
        <w:rPr>
          <w:lang w:val="fr-CA"/>
        </w:rPr>
        <w:t xml:space="preserve"> </w:t>
      </w:r>
      <w:r w:rsidRPr="00E85339">
        <w:rPr>
          <w:lang w:val="fr-CA"/>
        </w:rPr>
        <w:t>et la</w:t>
      </w:r>
      <w:r w:rsidR="008D7C78" w:rsidRPr="00E85339">
        <w:rPr>
          <w:lang w:val="fr-CA"/>
        </w:rPr>
        <w:t xml:space="preserve"> </w:t>
      </w:r>
      <w:r w:rsidR="000E42DF" w:rsidRPr="00E85339">
        <w:rPr>
          <w:lang w:val="fr-CA"/>
        </w:rPr>
        <w:t>puissance de ces</w:t>
      </w:r>
      <w:r w:rsidR="008D7C78" w:rsidRPr="00E85339">
        <w:rPr>
          <w:lang w:val="fr-CA"/>
        </w:rPr>
        <w:t xml:space="preserve"> substances </w:t>
      </w:r>
      <w:r w:rsidRPr="00E85339">
        <w:rPr>
          <w:lang w:val="fr-CA"/>
        </w:rPr>
        <w:t xml:space="preserve">ne sont pas mises à la disposition </w:t>
      </w:r>
      <w:r w:rsidR="00BB7C3E" w:rsidRPr="00E85339">
        <w:rPr>
          <w:lang w:val="fr-CA"/>
        </w:rPr>
        <w:t>des consommateurs.</w:t>
      </w:r>
    </w:p>
    <w:p w14:paraId="128D9A70" w14:textId="7C8705D4" w:rsidR="00017D99" w:rsidRPr="00E85339" w:rsidRDefault="00BB7C3E" w:rsidP="00075CF1">
      <w:pPr>
        <w:numPr>
          <w:ilvl w:val="0"/>
          <w:numId w:val="1"/>
        </w:numPr>
        <w:rPr>
          <w:lang w:val="fr-CA"/>
        </w:rPr>
      </w:pPr>
      <w:r w:rsidRPr="00E85339">
        <w:rPr>
          <w:lang w:val="fr-CA"/>
        </w:rPr>
        <w:t xml:space="preserve">Parmi les décès par intoxication aux drogues, beaucoup sont dus au caractère imprévisible et à la puissance du contenu de </w:t>
      </w:r>
      <w:r w:rsidRPr="00E85339">
        <w:rPr>
          <w:color w:val="101010"/>
          <w:lang w:val="fr-CA"/>
        </w:rPr>
        <w:t xml:space="preserve">l’approvisionnement en </w:t>
      </w:r>
      <w:r w:rsidRPr="00E85339">
        <w:rPr>
          <w:lang w:val="fr-CA"/>
        </w:rPr>
        <w:t>opioïdes</w:t>
      </w:r>
      <w:r w:rsidR="008D7C78" w:rsidRPr="00E85339">
        <w:rPr>
          <w:lang w:val="fr-CA"/>
        </w:rPr>
        <w:t xml:space="preserve">. </w:t>
      </w:r>
    </w:p>
    <w:p w14:paraId="28A903E2" w14:textId="48B28391" w:rsidR="00BB7C3E" w:rsidRPr="00E85339" w:rsidRDefault="00075CF1" w:rsidP="00BB7C3E">
      <w:pPr>
        <w:pStyle w:val="NormalWeb"/>
        <w:shd w:val="clear" w:color="auto" w:fill="FFFFFF"/>
        <w:spacing w:before="0" w:beforeAutospacing="0" w:after="192" w:afterAutospacing="0" w:line="347" w:lineRule="atLeast"/>
        <w:rPr>
          <w:rFonts w:asciiTheme="minorHAnsi" w:hAnsiTheme="minorHAnsi" w:cstheme="minorHAnsi"/>
          <w:color w:val="101010"/>
          <w:sz w:val="22"/>
          <w:szCs w:val="22"/>
          <w:lang w:val="fr-CA"/>
        </w:rPr>
      </w:pPr>
      <w:r w:rsidRPr="00E85339">
        <w:rPr>
          <w:rFonts w:asciiTheme="minorHAnsi" w:hAnsiTheme="minorHAnsi" w:cstheme="minorHAnsi"/>
          <w:b/>
          <w:bCs/>
          <w:sz w:val="22"/>
          <w:szCs w:val="22"/>
          <w:lang w:val="fr-CA"/>
        </w:rPr>
        <w:t>2</w:t>
      </w:r>
      <w:r w:rsidR="005D7C21">
        <w:rPr>
          <w:rFonts w:asciiTheme="minorHAnsi" w:hAnsiTheme="minorHAnsi" w:cstheme="minorHAnsi"/>
          <w:b/>
          <w:bCs/>
          <w:sz w:val="22"/>
          <w:szCs w:val="22"/>
          <w:lang w:val="fr-CA"/>
        </w:rPr>
        <w:t> </w:t>
      </w:r>
      <w:r w:rsidRPr="00E85339">
        <w:rPr>
          <w:rFonts w:asciiTheme="minorHAnsi" w:hAnsiTheme="minorHAnsi" w:cstheme="minorHAnsi"/>
          <w:b/>
          <w:bCs/>
          <w:sz w:val="22"/>
          <w:szCs w:val="22"/>
          <w:lang w:val="fr-CA"/>
        </w:rPr>
        <w:t xml:space="preserve">019 </w:t>
      </w:r>
      <w:r w:rsidR="008E4372" w:rsidRPr="00E85339">
        <w:rPr>
          <w:rFonts w:asciiTheme="minorHAnsi" w:hAnsiTheme="minorHAnsi" w:cstheme="minorHAnsi"/>
          <w:b/>
          <w:bCs/>
          <w:sz w:val="22"/>
          <w:szCs w:val="22"/>
          <w:lang w:val="fr-CA"/>
        </w:rPr>
        <w:t>échantillons</w:t>
      </w:r>
      <w:r w:rsidRPr="00E85339">
        <w:rPr>
          <w:rFonts w:asciiTheme="minorHAnsi" w:hAnsiTheme="minorHAnsi" w:cstheme="minorHAnsi"/>
          <w:sz w:val="22"/>
          <w:szCs w:val="22"/>
          <w:lang w:val="fr-CA"/>
        </w:rPr>
        <w:t xml:space="preserve"> </w:t>
      </w:r>
      <w:r w:rsidR="007B16D6" w:rsidRPr="00E85339">
        <w:rPr>
          <w:rFonts w:asciiTheme="minorHAnsi" w:hAnsiTheme="minorHAnsi" w:cstheme="minorHAnsi"/>
          <w:b/>
          <w:bCs/>
          <w:sz w:val="22"/>
          <w:szCs w:val="22"/>
          <w:lang w:val="fr-CA"/>
        </w:rPr>
        <w:t>contenaient des</w:t>
      </w:r>
      <w:r w:rsidRPr="00E85339">
        <w:rPr>
          <w:rFonts w:asciiTheme="minorHAnsi" w:hAnsiTheme="minorHAnsi" w:cstheme="minorHAnsi"/>
          <w:b/>
          <w:bCs/>
          <w:sz w:val="22"/>
          <w:szCs w:val="22"/>
          <w:lang w:val="fr-CA"/>
        </w:rPr>
        <w:t xml:space="preserve"> </w:t>
      </w:r>
      <w:r w:rsidR="00113E3F" w:rsidRPr="00E85339">
        <w:rPr>
          <w:rFonts w:asciiTheme="minorHAnsi" w:hAnsiTheme="minorHAnsi" w:cstheme="minorHAnsi"/>
          <w:b/>
          <w:bCs/>
          <w:sz w:val="22"/>
          <w:szCs w:val="22"/>
          <w:lang w:val="fr-CA"/>
        </w:rPr>
        <w:t>médicaments apparentés aux benzodiazépines</w:t>
      </w:r>
      <w:r w:rsidRPr="00E85339">
        <w:rPr>
          <w:rFonts w:asciiTheme="minorHAnsi" w:hAnsiTheme="minorHAnsi" w:cstheme="minorHAnsi"/>
          <w:b/>
          <w:bCs/>
          <w:sz w:val="22"/>
          <w:szCs w:val="22"/>
          <w:lang w:val="fr-CA"/>
        </w:rPr>
        <w:t xml:space="preserve"> </w:t>
      </w:r>
      <w:r w:rsidR="007B16D6" w:rsidRPr="00E85339">
        <w:rPr>
          <w:rFonts w:asciiTheme="minorHAnsi" w:hAnsiTheme="minorHAnsi" w:cstheme="minorHAnsi"/>
          <w:b/>
          <w:bCs/>
          <w:sz w:val="22"/>
          <w:szCs w:val="22"/>
          <w:lang w:val="fr-CA"/>
        </w:rPr>
        <w:t>et autres</w:t>
      </w:r>
      <w:r w:rsidRPr="00E85339">
        <w:rPr>
          <w:rFonts w:asciiTheme="minorHAnsi" w:hAnsiTheme="minorHAnsi" w:cstheme="minorHAnsi"/>
          <w:b/>
          <w:bCs/>
          <w:sz w:val="22"/>
          <w:szCs w:val="22"/>
          <w:lang w:val="fr-CA"/>
        </w:rPr>
        <w:t xml:space="preserve"> </w:t>
      </w:r>
      <w:r w:rsidR="00B058AF" w:rsidRPr="00E85339">
        <w:rPr>
          <w:rFonts w:asciiTheme="minorHAnsi" w:hAnsiTheme="minorHAnsi" w:cstheme="minorHAnsi"/>
          <w:b/>
          <w:bCs/>
          <w:sz w:val="22"/>
          <w:szCs w:val="22"/>
          <w:lang w:val="fr-CA"/>
        </w:rPr>
        <w:t>tranquillisants</w:t>
      </w:r>
      <w:r w:rsidRPr="00E85339">
        <w:rPr>
          <w:rFonts w:asciiTheme="minorHAnsi" w:hAnsiTheme="minorHAnsi" w:cstheme="minorHAnsi"/>
          <w:b/>
          <w:bCs/>
          <w:sz w:val="22"/>
          <w:szCs w:val="22"/>
          <w:lang w:val="fr-CA"/>
        </w:rPr>
        <w:t>.</w:t>
      </w:r>
      <w:r w:rsidR="007B16D6" w:rsidRPr="00E85339">
        <w:rPr>
          <w:rFonts w:asciiTheme="minorHAnsi" w:hAnsiTheme="minorHAnsi" w:cstheme="minorHAnsi"/>
          <w:color w:val="000000"/>
          <w:sz w:val="22"/>
          <w:szCs w:val="22"/>
          <w:shd w:val="clear" w:color="auto" w:fill="FFFBB8"/>
          <w:lang w:val="fr-CA"/>
        </w:rPr>
        <w:t xml:space="preserve"> </w:t>
      </w:r>
    </w:p>
    <w:p w14:paraId="2A8A2BA9" w14:textId="7F06F1EA" w:rsidR="00BB7C3E" w:rsidRPr="00E85339" w:rsidRDefault="00F9490F" w:rsidP="00BB7C3E">
      <w:pPr>
        <w:pStyle w:val="NormalWeb"/>
        <w:numPr>
          <w:ilvl w:val="0"/>
          <w:numId w:val="8"/>
        </w:numPr>
        <w:shd w:val="clear" w:color="auto" w:fill="FFFFFF"/>
        <w:spacing w:before="0" w:beforeAutospacing="0" w:after="192" w:afterAutospacing="0" w:line="347" w:lineRule="atLeast"/>
        <w:rPr>
          <w:rFonts w:asciiTheme="minorHAnsi" w:hAnsiTheme="minorHAnsi" w:cstheme="minorHAnsi"/>
          <w:sz w:val="22"/>
          <w:szCs w:val="22"/>
          <w:lang w:val="fr-CA"/>
        </w:rPr>
      </w:pPr>
      <w:r w:rsidRPr="00E85339">
        <w:rPr>
          <w:rFonts w:asciiTheme="minorHAnsi" w:hAnsiTheme="minorHAnsi" w:cstheme="minorHAnsi"/>
          <w:sz w:val="22"/>
          <w:szCs w:val="22"/>
          <w:lang w:val="fr-CA"/>
        </w:rPr>
        <w:t>La consommation simultanée d’opioïdes et d’autres dépresseurs du système nerveux central ou de l’appareil respiratoire, comme les médicaments apparentés aux benzodiazépines ou les tranquillisants, augmente fortement l</w:t>
      </w:r>
      <w:r w:rsidR="00BB7C3E" w:rsidRPr="00E85339">
        <w:rPr>
          <w:rFonts w:asciiTheme="minorHAnsi" w:hAnsiTheme="minorHAnsi" w:cstheme="minorHAnsi"/>
          <w:sz w:val="22"/>
          <w:szCs w:val="22"/>
          <w:lang w:val="fr-CA"/>
        </w:rPr>
        <w:t>e risque d</w:t>
      </w:r>
      <w:r w:rsidR="00A0368B" w:rsidRPr="00E85339">
        <w:rPr>
          <w:rFonts w:asciiTheme="minorHAnsi" w:hAnsiTheme="minorHAnsi" w:cstheme="minorHAnsi"/>
          <w:sz w:val="22"/>
          <w:szCs w:val="22"/>
          <w:lang w:val="fr-CA"/>
        </w:rPr>
        <w:t>’</w:t>
      </w:r>
      <w:r w:rsidR="00BB7C3E" w:rsidRPr="00E85339">
        <w:rPr>
          <w:rFonts w:asciiTheme="minorHAnsi" w:hAnsiTheme="minorHAnsi" w:cstheme="minorHAnsi"/>
          <w:sz w:val="22"/>
          <w:szCs w:val="22"/>
          <w:lang w:val="fr-CA"/>
        </w:rPr>
        <w:t>intoxication</w:t>
      </w:r>
      <w:r w:rsidR="005D7C21">
        <w:rPr>
          <w:rFonts w:asciiTheme="minorHAnsi" w:hAnsiTheme="minorHAnsi" w:cstheme="minorHAnsi"/>
          <w:sz w:val="22"/>
          <w:szCs w:val="22"/>
          <w:lang w:val="fr-CA"/>
        </w:rPr>
        <w:t xml:space="preserve"> mortelle</w:t>
      </w:r>
      <w:r w:rsidR="00BB7C3E" w:rsidRPr="00E85339">
        <w:rPr>
          <w:rFonts w:asciiTheme="minorHAnsi" w:hAnsiTheme="minorHAnsi" w:cstheme="minorHAnsi"/>
          <w:sz w:val="22"/>
          <w:szCs w:val="22"/>
          <w:lang w:val="fr-CA"/>
        </w:rPr>
        <w:t>.</w:t>
      </w:r>
    </w:p>
    <w:p w14:paraId="29B4E651" w14:textId="56B232AB" w:rsidR="00017D99" w:rsidRPr="00E85339" w:rsidRDefault="007B16D6" w:rsidP="00B81584">
      <w:pPr>
        <w:numPr>
          <w:ilvl w:val="0"/>
          <w:numId w:val="2"/>
        </w:numPr>
        <w:spacing w:after="0" w:line="240" w:lineRule="auto"/>
        <w:ind w:left="714" w:hanging="357"/>
        <w:rPr>
          <w:lang w:val="fr-CA"/>
        </w:rPr>
      </w:pPr>
      <w:r w:rsidRPr="00E85339">
        <w:rPr>
          <w:lang w:val="fr-CA"/>
        </w:rPr>
        <w:lastRenderedPageBreak/>
        <w:t>L</w:t>
      </w:r>
      <w:r w:rsidR="00F9490F" w:rsidRPr="00E85339">
        <w:rPr>
          <w:lang w:val="fr-CA"/>
        </w:rPr>
        <w:t xml:space="preserve">a </w:t>
      </w:r>
      <w:r w:rsidRPr="00E85339">
        <w:rPr>
          <w:lang w:val="fr-CA"/>
        </w:rPr>
        <w:t>n</w:t>
      </w:r>
      <w:r w:rsidR="008D7C78" w:rsidRPr="00E85339">
        <w:rPr>
          <w:lang w:val="fr-CA"/>
        </w:rPr>
        <w:t xml:space="preserve">aloxone </w:t>
      </w:r>
      <w:r w:rsidR="005A6F5D" w:rsidRPr="00E85339">
        <w:rPr>
          <w:lang w:val="fr-CA"/>
        </w:rPr>
        <w:t xml:space="preserve">peut temporairement </w:t>
      </w:r>
      <w:r w:rsidR="00F9490F" w:rsidRPr="00E85339">
        <w:rPr>
          <w:rFonts w:cstheme="minorHAnsi"/>
          <w:color w:val="333333"/>
          <w:shd w:val="clear" w:color="auto" w:fill="FFFFFF"/>
          <w:lang w:val="fr-CA"/>
        </w:rPr>
        <w:t>renverse</w:t>
      </w:r>
      <w:r w:rsidR="005A6F5D" w:rsidRPr="00E85339">
        <w:rPr>
          <w:rFonts w:cstheme="minorHAnsi"/>
          <w:color w:val="333333"/>
          <w:shd w:val="clear" w:color="auto" w:fill="FFFFFF"/>
          <w:lang w:val="fr-CA"/>
        </w:rPr>
        <w:t>r</w:t>
      </w:r>
      <w:r w:rsidR="00F9490F" w:rsidRPr="00E85339">
        <w:rPr>
          <w:rFonts w:cstheme="minorHAnsi"/>
          <w:color w:val="333333"/>
          <w:shd w:val="clear" w:color="auto" w:fill="FFFFFF"/>
          <w:lang w:val="fr-CA"/>
        </w:rPr>
        <w:t xml:space="preserve"> les effets d</w:t>
      </w:r>
      <w:r w:rsidR="005A6F5D" w:rsidRPr="00E85339">
        <w:rPr>
          <w:rFonts w:cstheme="minorHAnsi"/>
          <w:color w:val="333333"/>
          <w:shd w:val="clear" w:color="auto" w:fill="FFFFFF"/>
          <w:lang w:val="fr-CA"/>
        </w:rPr>
        <w:t>’</w:t>
      </w:r>
      <w:r w:rsidR="00F9490F" w:rsidRPr="00E85339">
        <w:rPr>
          <w:rFonts w:cstheme="minorHAnsi"/>
          <w:color w:val="333333"/>
          <w:shd w:val="clear" w:color="auto" w:fill="FFFFFF"/>
          <w:lang w:val="fr-CA"/>
        </w:rPr>
        <w:t>une surdose d’opioïdes</w:t>
      </w:r>
      <w:r w:rsidR="00F9490F" w:rsidRPr="00E85339">
        <w:rPr>
          <w:lang w:val="fr-CA"/>
        </w:rPr>
        <w:t xml:space="preserve"> </w:t>
      </w:r>
      <w:r w:rsidR="005A6F5D" w:rsidRPr="00E85339">
        <w:rPr>
          <w:lang w:val="fr-CA"/>
        </w:rPr>
        <w:t>et devrait toujours être utilisée pour améliorer la respiration dans les cas où une surdose est soupçonnée.</w:t>
      </w:r>
      <w:r w:rsidR="00A0368B" w:rsidRPr="00E85339">
        <w:rPr>
          <w:lang w:val="fr-CA"/>
        </w:rPr>
        <w:t xml:space="preserve"> </w:t>
      </w:r>
      <w:r w:rsidR="005A6F5D" w:rsidRPr="00E85339">
        <w:rPr>
          <w:lang w:val="fr-CA"/>
        </w:rPr>
        <w:t>Toutefois, la</w:t>
      </w:r>
      <w:r w:rsidR="008D7C78" w:rsidRPr="00E85339">
        <w:rPr>
          <w:lang w:val="fr-CA"/>
        </w:rPr>
        <w:t xml:space="preserve"> </w:t>
      </w:r>
      <w:r w:rsidR="005A6F5D" w:rsidRPr="00E85339">
        <w:rPr>
          <w:lang w:val="fr-CA"/>
        </w:rPr>
        <w:t xml:space="preserve">naloxone </w:t>
      </w:r>
      <w:r w:rsidR="004A5606" w:rsidRPr="00E85339">
        <w:rPr>
          <w:lang w:val="fr-CA"/>
        </w:rPr>
        <w:t>est</w:t>
      </w:r>
      <w:r w:rsidR="005A6F5D" w:rsidRPr="00E85339">
        <w:rPr>
          <w:lang w:val="fr-CA"/>
        </w:rPr>
        <w:t xml:space="preserve"> moins efficace </w:t>
      </w:r>
      <w:r w:rsidR="004A5606" w:rsidRPr="00E85339">
        <w:rPr>
          <w:lang w:val="fr-CA"/>
        </w:rPr>
        <w:t>en cas de mélange</w:t>
      </w:r>
      <w:r w:rsidR="005A6F5D" w:rsidRPr="00E85339">
        <w:rPr>
          <w:lang w:val="fr-CA"/>
        </w:rPr>
        <w:t xml:space="preserve"> </w:t>
      </w:r>
      <w:r w:rsidR="004A5606" w:rsidRPr="00E85339">
        <w:rPr>
          <w:lang w:val="fr-CA"/>
        </w:rPr>
        <w:t xml:space="preserve">d’un opioïde et d’autres </w:t>
      </w:r>
      <w:r w:rsidR="00A0368B" w:rsidRPr="00E85339">
        <w:rPr>
          <w:lang w:val="fr-CA"/>
        </w:rPr>
        <w:t>drogues</w:t>
      </w:r>
      <w:r w:rsidR="008D7C78" w:rsidRPr="00E85339">
        <w:rPr>
          <w:lang w:val="fr-CA"/>
        </w:rPr>
        <w:t>.</w:t>
      </w:r>
    </w:p>
    <w:p w14:paraId="67525D7F" w14:textId="77777777" w:rsidR="00B058AF" w:rsidRPr="00E85339" w:rsidRDefault="00B058AF" w:rsidP="004A5606">
      <w:pPr>
        <w:rPr>
          <w:lang w:val="fr-CA"/>
        </w:rPr>
      </w:pPr>
    </w:p>
    <w:p w14:paraId="1BF47B4F" w14:textId="594AB552" w:rsidR="00075CF1" w:rsidRPr="00E85339" w:rsidRDefault="00B81584" w:rsidP="004A5606">
      <w:pPr>
        <w:rPr>
          <w:lang w:val="fr-CA"/>
        </w:rPr>
      </w:pPr>
      <w:r w:rsidRPr="00E85339">
        <w:rPr>
          <w:lang w:val="fr-CA"/>
        </w:rPr>
        <w:t>Pour une ventilation détaillée des différentes substances détectées</w:t>
      </w:r>
      <w:r w:rsidR="00075CF1" w:rsidRPr="00E85339">
        <w:rPr>
          <w:lang w:val="fr-CA"/>
        </w:rPr>
        <w:t xml:space="preserve">, </w:t>
      </w:r>
      <w:r w:rsidR="004A5606" w:rsidRPr="00E85339">
        <w:rPr>
          <w:lang w:val="fr-CA"/>
        </w:rPr>
        <w:t xml:space="preserve">consulter le </w:t>
      </w:r>
      <w:r w:rsidR="007B16D6" w:rsidRPr="00E85339">
        <w:rPr>
          <w:lang w:val="fr-CA"/>
        </w:rPr>
        <w:t>site Web</w:t>
      </w:r>
      <w:r w:rsidR="004A5606" w:rsidRPr="00E85339">
        <w:rPr>
          <w:lang w:val="fr-CA"/>
        </w:rPr>
        <w:t xml:space="preserve"> du</w:t>
      </w:r>
      <w:r w:rsidR="007B16D6" w:rsidRPr="00E85339">
        <w:rPr>
          <w:lang w:val="fr-CA"/>
        </w:rPr>
        <w:t xml:space="preserve"> </w:t>
      </w:r>
      <w:hyperlink r:id="rId24" w:history="1">
        <w:r w:rsidR="007B16D6" w:rsidRPr="00E85339">
          <w:rPr>
            <w:rStyle w:val="Hyperlink"/>
            <w:lang w:val="fr-CA"/>
          </w:rPr>
          <w:t>service de contrôle des drogues de Toronto</w:t>
        </w:r>
      </w:hyperlink>
      <w:r w:rsidR="007B16D6" w:rsidRPr="00E85339">
        <w:rPr>
          <w:rStyle w:val="Hyperlink"/>
          <w:u w:val="none"/>
          <w:lang w:val="fr-CA"/>
        </w:rPr>
        <w:t xml:space="preserve"> </w:t>
      </w:r>
      <w:r w:rsidR="007B16D6" w:rsidRPr="00E85339">
        <w:rPr>
          <w:rStyle w:val="Hyperlink"/>
          <w:color w:val="auto"/>
          <w:u w:val="none"/>
          <w:lang w:val="fr-CA"/>
        </w:rPr>
        <w:t>[en anglais]</w:t>
      </w:r>
      <w:r w:rsidR="00075CF1" w:rsidRPr="00E85339">
        <w:rPr>
          <w:lang w:val="fr-CA"/>
        </w:rPr>
        <w:t xml:space="preserve">. </w:t>
      </w:r>
    </w:p>
    <w:p w14:paraId="0D2B3CED" w14:textId="487BA63A" w:rsidR="00075CF1" w:rsidRPr="00E85339" w:rsidRDefault="00B81584" w:rsidP="00075CF1">
      <w:pPr>
        <w:rPr>
          <w:lang w:val="fr-CA"/>
        </w:rPr>
      </w:pPr>
      <w:r w:rsidRPr="00E85339">
        <w:rPr>
          <w:lang w:val="fr-CA"/>
        </w:rPr>
        <w:t>Pour obtenir des informations sur les substances répertoriées</w:t>
      </w:r>
      <w:r w:rsidR="00075CF1" w:rsidRPr="00E85339">
        <w:rPr>
          <w:lang w:val="fr-CA"/>
        </w:rPr>
        <w:t xml:space="preserve">, </w:t>
      </w:r>
      <w:r w:rsidRPr="00E85339">
        <w:rPr>
          <w:lang w:val="fr-CA"/>
        </w:rPr>
        <w:t xml:space="preserve">consulter le dictionnaire des </w:t>
      </w:r>
      <w:r w:rsidR="00183610" w:rsidRPr="00E85339">
        <w:rPr>
          <w:lang w:val="fr-CA"/>
        </w:rPr>
        <w:t>médicaments</w:t>
      </w:r>
      <w:r w:rsidR="00075CF1" w:rsidRPr="00E85339">
        <w:rPr>
          <w:lang w:val="fr-CA"/>
        </w:rPr>
        <w:t xml:space="preserve"> </w:t>
      </w:r>
      <w:r w:rsidR="007B16D6" w:rsidRPr="00E85339">
        <w:rPr>
          <w:lang w:val="fr-CA"/>
        </w:rPr>
        <w:t>du</w:t>
      </w:r>
      <w:r w:rsidR="00075CF1" w:rsidRPr="00E85339">
        <w:rPr>
          <w:lang w:val="fr-CA"/>
        </w:rPr>
        <w:t xml:space="preserve"> </w:t>
      </w:r>
      <w:r w:rsidR="007B16D6" w:rsidRPr="00E85339">
        <w:rPr>
          <w:lang w:val="fr-CA"/>
        </w:rPr>
        <w:t xml:space="preserve">service de contrôle des drogues de Toronto à </w:t>
      </w:r>
      <w:hyperlink r:id="rId25" w:history="1">
        <w:r w:rsidR="007B16D6" w:rsidRPr="00E85339">
          <w:rPr>
            <w:rStyle w:val="Hyperlink"/>
            <w:lang w:val="fr-CA"/>
          </w:rPr>
          <w:t>https://drugchecking.cdpe.org/drug-dictionary</w:t>
        </w:r>
      </w:hyperlink>
      <w:hyperlink r:id="rId26" w:history="1">
        <w:r w:rsidR="00075CF1" w:rsidRPr="00E85339">
          <w:rPr>
            <w:rStyle w:val="Hyperlink"/>
            <w:lang w:val="fr-CA"/>
          </w:rPr>
          <w:t>/</w:t>
        </w:r>
      </w:hyperlink>
      <w:r w:rsidR="007B16D6" w:rsidRPr="00E85339">
        <w:rPr>
          <w:rStyle w:val="Hyperlink"/>
          <w:u w:val="none"/>
          <w:lang w:val="fr-CA"/>
        </w:rPr>
        <w:t xml:space="preserve"> </w:t>
      </w:r>
      <w:r w:rsidR="007B16D6" w:rsidRPr="00E85339">
        <w:rPr>
          <w:rFonts w:cstheme="minorHAnsi"/>
          <w:lang w:val="fr-CA"/>
        </w:rPr>
        <w:t>[en anglais]</w:t>
      </w:r>
      <w:r w:rsidR="005D7C21">
        <w:rPr>
          <w:rFonts w:cstheme="minorHAnsi"/>
          <w:lang w:val="fr-CA"/>
        </w:rPr>
        <w:t>.</w:t>
      </w:r>
    </w:p>
    <w:p w14:paraId="4ECCFE8D" w14:textId="0388881E" w:rsidR="00075CF1" w:rsidRPr="00E85339" w:rsidRDefault="00183610" w:rsidP="003137A4">
      <w:pPr>
        <w:pStyle w:val="Heading2"/>
      </w:pPr>
      <w:r w:rsidRPr="00E85339">
        <w:t>Le marché non réglementé de</w:t>
      </w:r>
      <w:r w:rsidR="00A0368B" w:rsidRPr="00E85339">
        <w:t>s</w:t>
      </w:r>
      <w:r w:rsidRPr="00E85339">
        <w:t xml:space="preserve"> drogues et ses effets sur la</w:t>
      </w:r>
      <w:r w:rsidR="00075CF1" w:rsidRPr="00E85339">
        <w:t xml:space="preserve"> </w:t>
      </w:r>
      <w:r w:rsidR="0078082D" w:rsidRPr="00E85339">
        <w:t xml:space="preserve">crise des </w:t>
      </w:r>
      <w:r w:rsidR="00113E3F" w:rsidRPr="00E85339">
        <w:t>opioïdes</w:t>
      </w:r>
      <w:r w:rsidR="00A0368B" w:rsidRPr="00E85339">
        <w:t> </w:t>
      </w:r>
      <w:r w:rsidR="00075CF1" w:rsidRPr="00E85339">
        <w:t xml:space="preserve">: </w:t>
      </w:r>
    </w:p>
    <w:p w14:paraId="633BB7D1" w14:textId="121F4DCD" w:rsidR="00183610" w:rsidRPr="00E85339" w:rsidRDefault="00690472" w:rsidP="00075CF1">
      <w:pPr>
        <w:pStyle w:val="ListParagraph"/>
        <w:numPr>
          <w:ilvl w:val="0"/>
          <w:numId w:val="3"/>
        </w:numPr>
        <w:rPr>
          <w:lang w:val="fr-CA"/>
        </w:rPr>
      </w:pPr>
      <w:r w:rsidRPr="00E85339">
        <w:rPr>
          <w:b/>
          <w:bCs/>
          <w:lang w:val="fr-CA"/>
        </w:rPr>
        <w:t xml:space="preserve">Les </w:t>
      </w:r>
      <w:r w:rsidR="007B16D6" w:rsidRPr="00E85339">
        <w:rPr>
          <w:b/>
          <w:bCs/>
          <w:lang w:val="fr-CA"/>
        </w:rPr>
        <w:t xml:space="preserve">intoxications </w:t>
      </w:r>
      <w:r w:rsidRPr="00E85339">
        <w:rPr>
          <w:b/>
          <w:bCs/>
          <w:lang w:val="fr-CA"/>
        </w:rPr>
        <w:t xml:space="preserve">accidentelles </w:t>
      </w:r>
      <w:r w:rsidR="007B16D6" w:rsidRPr="00E85339">
        <w:rPr>
          <w:b/>
          <w:bCs/>
          <w:lang w:val="fr-CA"/>
        </w:rPr>
        <w:t>aux drogues</w:t>
      </w:r>
      <w:r w:rsidR="00075CF1" w:rsidRPr="00E85339">
        <w:rPr>
          <w:b/>
          <w:bCs/>
          <w:lang w:val="fr-CA"/>
        </w:rPr>
        <w:t xml:space="preserve"> </w:t>
      </w:r>
      <w:r w:rsidRPr="00E85339">
        <w:rPr>
          <w:b/>
          <w:bCs/>
          <w:lang w:val="fr-CA"/>
        </w:rPr>
        <w:t>se poursuivent à un rythme alarmant</w:t>
      </w:r>
      <w:r w:rsidR="00075CF1" w:rsidRPr="00E85339">
        <w:rPr>
          <w:b/>
          <w:bCs/>
          <w:lang w:val="fr-CA"/>
        </w:rPr>
        <w:t xml:space="preserve">. </w:t>
      </w:r>
      <w:r w:rsidR="000A4A63" w:rsidRPr="00E85339">
        <w:rPr>
          <w:lang w:val="fr-CA"/>
        </w:rPr>
        <w:t>Comme</w:t>
      </w:r>
      <w:r w:rsidR="00183610" w:rsidRPr="00E85339">
        <w:rPr>
          <w:lang w:val="fr-CA"/>
        </w:rPr>
        <w:t xml:space="preserve"> l’approvisionnement non réglementé en opioïdes continue d</w:t>
      </w:r>
      <w:r w:rsidR="00A0368B" w:rsidRPr="00E85339">
        <w:rPr>
          <w:lang w:val="fr-CA"/>
        </w:rPr>
        <w:t>’</w:t>
      </w:r>
      <w:r w:rsidR="00183610" w:rsidRPr="00E85339">
        <w:rPr>
          <w:lang w:val="fr-CA"/>
        </w:rPr>
        <w:t xml:space="preserve">être constitué de produits dont la puissance et la composition sont inconnues, </w:t>
      </w:r>
      <w:r w:rsidR="006A480F" w:rsidRPr="00E85339">
        <w:rPr>
          <w:lang w:val="fr-CA"/>
        </w:rPr>
        <w:t>quiconque</w:t>
      </w:r>
      <w:r w:rsidR="00183610" w:rsidRPr="00E85339">
        <w:rPr>
          <w:lang w:val="fr-CA"/>
        </w:rPr>
        <w:t xml:space="preserve"> achète</w:t>
      </w:r>
      <w:r w:rsidR="006A480F" w:rsidRPr="00E85339">
        <w:rPr>
          <w:lang w:val="fr-CA"/>
        </w:rPr>
        <w:t xml:space="preserve"> et consomme</w:t>
      </w:r>
      <w:r w:rsidR="00183610" w:rsidRPr="00E85339">
        <w:rPr>
          <w:lang w:val="fr-CA"/>
        </w:rPr>
        <w:t xml:space="preserve"> ces substances s</w:t>
      </w:r>
      <w:r w:rsidR="00A0368B" w:rsidRPr="00E85339">
        <w:rPr>
          <w:lang w:val="fr-CA"/>
        </w:rPr>
        <w:t>’</w:t>
      </w:r>
      <w:r w:rsidR="00183610" w:rsidRPr="00E85339">
        <w:rPr>
          <w:lang w:val="fr-CA"/>
        </w:rPr>
        <w:t>expose à un</w:t>
      </w:r>
      <w:r w:rsidR="006A480F" w:rsidRPr="00E85339">
        <w:rPr>
          <w:lang w:val="fr-CA"/>
        </w:rPr>
        <w:t>e</w:t>
      </w:r>
      <w:r w:rsidR="00183610" w:rsidRPr="00E85339">
        <w:rPr>
          <w:lang w:val="fr-CA"/>
        </w:rPr>
        <w:t xml:space="preserve"> blessure lié</w:t>
      </w:r>
      <w:r w:rsidR="006A480F" w:rsidRPr="00E85339">
        <w:rPr>
          <w:lang w:val="fr-CA"/>
        </w:rPr>
        <w:t>e</w:t>
      </w:r>
      <w:r w:rsidR="00183610" w:rsidRPr="00E85339">
        <w:rPr>
          <w:lang w:val="fr-CA"/>
        </w:rPr>
        <w:t xml:space="preserve"> à la drogue </w:t>
      </w:r>
      <w:r w:rsidR="006A480F" w:rsidRPr="00E85339">
        <w:rPr>
          <w:lang w:val="fr-CA"/>
        </w:rPr>
        <w:t xml:space="preserve">ou </w:t>
      </w:r>
      <w:r w:rsidR="000A4A63" w:rsidRPr="00E85339">
        <w:rPr>
          <w:lang w:val="fr-CA"/>
        </w:rPr>
        <w:t xml:space="preserve">à </w:t>
      </w:r>
      <w:r w:rsidR="006A480F" w:rsidRPr="00E85339">
        <w:rPr>
          <w:lang w:val="fr-CA"/>
        </w:rPr>
        <w:t>une surdose.</w:t>
      </w:r>
    </w:p>
    <w:p w14:paraId="5926E757" w14:textId="7F390260" w:rsidR="006A480F" w:rsidRPr="00E85339" w:rsidRDefault="008B7704" w:rsidP="00CF790D">
      <w:pPr>
        <w:pStyle w:val="ListParagraph"/>
        <w:numPr>
          <w:ilvl w:val="0"/>
          <w:numId w:val="3"/>
        </w:numPr>
        <w:rPr>
          <w:lang w:val="fr-CA"/>
        </w:rPr>
      </w:pPr>
      <w:r w:rsidRPr="00E85339">
        <w:rPr>
          <w:b/>
          <w:bCs/>
          <w:lang w:val="fr-CA"/>
        </w:rPr>
        <w:t>Les services d’intervention en situation de crise</w:t>
      </w:r>
      <w:r w:rsidR="00075CF1" w:rsidRPr="00E85339">
        <w:rPr>
          <w:b/>
          <w:bCs/>
          <w:lang w:val="fr-CA"/>
        </w:rPr>
        <w:t xml:space="preserve"> </w:t>
      </w:r>
      <w:r w:rsidRPr="00E85339">
        <w:rPr>
          <w:b/>
          <w:bCs/>
          <w:lang w:val="fr-CA"/>
        </w:rPr>
        <w:t>sont surchargés</w:t>
      </w:r>
      <w:r w:rsidR="00075CF1" w:rsidRPr="00E85339">
        <w:rPr>
          <w:b/>
          <w:bCs/>
          <w:lang w:val="fr-CA"/>
        </w:rPr>
        <w:t xml:space="preserve">. </w:t>
      </w:r>
      <w:r w:rsidR="00DE35DD" w:rsidRPr="00E85339">
        <w:rPr>
          <w:lang w:val="fr-CA"/>
        </w:rPr>
        <w:t xml:space="preserve">Les </w:t>
      </w:r>
      <w:r w:rsidR="007B16D6" w:rsidRPr="00E85339">
        <w:rPr>
          <w:lang w:val="fr-CA"/>
        </w:rPr>
        <w:t>intoxications aux drogues</w:t>
      </w:r>
      <w:r w:rsidR="00075CF1" w:rsidRPr="00E85339">
        <w:rPr>
          <w:lang w:val="fr-CA"/>
        </w:rPr>
        <w:t xml:space="preserve"> </w:t>
      </w:r>
      <w:r w:rsidR="00DE35DD" w:rsidRPr="00E85339">
        <w:rPr>
          <w:lang w:val="fr-CA"/>
        </w:rPr>
        <w:t>continuant de se produire inéluctablement</w:t>
      </w:r>
      <w:r w:rsidR="00075CF1" w:rsidRPr="00E85339">
        <w:rPr>
          <w:lang w:val="fr-CA"/>
        </w:rPr>
        <w:t xml:space="preserve">, </w:t>
      </w:r>
      <w:r w:rsidR="00DE35DD" w:rsidRPr="00E85339">
        <w:rPr>
          <w:lang w:val="fr-CA"/>
        </w:rPr>
        <w:t>le nombre d’appels aux services de première ligne augmente dans tout l’</w:t>
      </w:r>
      <w:r w:rsidR="00075CF1" w:rsidRPr="00E85339">
        <w:rPr>
          <w:lang w:val="fr-CA"/>
        </w:rPr>
        <w:t>Ontario</w:t>
      </w:r>
      <w:r w:rsidR="00DE35DD" w:rsidRPr="00E85339">
        <w:rPr>
          <w:lang w:val="fr-CA"/>
        </w:rPr>
        <w:t xml:space="preserve">, ce qui occasionne un stress accru </w:t>
      </w:r>
      <w:r w:rsidR="00CF790D" w:rsidRPr="00E85339">
        <w:rPr>
          <w:lang w:val="fr-CA"/>
        </w:rPr>
        <w:t xml:space="preserve">au personnel de la santé et aux équipes de première intervention, qui sont déjà surmenés.  </w:t>
      </w:r>
    </w:p>
    <w:p w14:paraId="2D381EAA" w14:textId="1F0E9E32" w:rsidR="0030371F" w:rsidRPr="00E85339" w:rsidRDefault="00CE67B3" w:rsidP="00075CF1">
      <w:pPr>
        <w:pStyle w:val="ListParagraph"/>
        <w:numPr>
          <w:ilvl w:val="0"/>
          <w:numId w:val="3"/>
        </w:numPr>
        <w:rPr>
          <w:lang w:val="fr-CA"/>
        </w:rPr>
      </w:pPr>
      <w:r w:rsidRPr="00E85339">
        <w:rPr>
          <w:b/>
          <w:bCs/>
          <w:lang w:val="fr-CA"/>
        </w:rPr>
        <w:t xml:space="preserve">Les </w:t>
      </w:r>
      <w:r w:rsidR="00CF790D" w:rsidRPr="00E85339">
        <w:rPr>
          <w:b/>
          <w:bCs/>
          <w:lang w:val="fr-CA"/>
        </w:rPr>
        <w:t xml:space="preserve">équipes de première intervention et </w:t>
      </w:r>
      <w:r w:rsidRPr="00E85339">
        <w:rPr>
          <w:b/>
          <w:bCs/>
          <w:lang w:val="fr-CA"/>
        </w:rPr>
        <w:t xml:space="preserve">de première ligne ainsi que les personnes qui consomment des substances psychoactives et </w:t>
      </w:r>
      <w:r w:rsidR="00CF790D" w:rsidRPr="00E85339">
        <w:rPr>
          <w:b/>
          <w:bCs/>
          <w:lang w:val="fr-CA"/>
        </w:rPr>
        <w:t>leur entourage</w:t>
      </w:r>
      <w:r w:rsidRPr="00E85339">
        <w:rPr>
          <w:b/>
          <w:bCs/>
          <w:lang w:val="fr-CA"/>
        </w:rPr>
        <w:t xml:space="preserve"> ressentent une détresse morale</w:t>
      </w:r>
      <w:r w:rsidR="00075CF1" w:rsidRPr="00E85339">
        <w:rPr>
          <w:b/>
          <w:bCs/>
          <w:lang w:val="fr-CA"/>
        </w:rPr>
        <w:t>.</w:t>
      </w:r>
    </w:p>
    <w:p w14:paraId="6A51368E" w14:textId="35766DC0" w:rsidR="00CF790D" w:rsidRPr="00E85339" w:rsidRDefault="00CF790D" w:rsidP="005D7C21">
      <w:pPr>
        <w:pStyle w:val="ListParagraph"/>
        <w:rPr>
          <w:lang w:val="fr-CA"/>
        </w:rPr>
      </w:pPr>
      <w:r w:rsidRPr="00E85339">
        <w:rPr>
          <w:lang w:val="fr-CA"/>
        </w:rPr>
        <w:t xml:space="preserve">Les protocoles standard pour </w:t>
      </w:r>
      <w:r w:rsidRPr="00E85339">
        <w:rPr>
          <w:rFonts w:cstheme="minorHAnsi"/>
          <w:color w:val="333333"/>
          <w:shd w:val="clear" w:color="auto" w:fill="FFFFFF"/>
          <w:lang w:val="fr-CA"/>
        </w:rPr>
        <w:t>renverser</w:t>
      </w:r>
      <w:r w:rsidRPr="00E85339">
        <w:rPr>
          <w:lang w:val="fr-CA"/>
        </w:rPr>
        <w:t xml:space="preserve"> les effets des intoxications aux drogues, </w:t>
      </w:r>
      <w:r w:rsidR="0030371F" w:rsidRPr="00E85339">
        <w:rPr>
          <w:lang w:val="fr-CA"/>
        </w:rPr>
        <w:t>comme</w:t>
      </w:r>
      <w:r w:rsidRPr="00E85339">
        <w:rPr>
          <w:lang w:val="fr-CA"/>
        </w:rPr>
        <w:t xml:space="preserve"> l</w:t>
      </w:r>
      <w:r w:rsidR="00A0368B" w:rsidRPr="00E85339">
        <w:rPr>
          <w:lang w:val="fr-CA"/>
        </w:rPr>
        <w:t>’</w:t>
      </w:r>
      <w:r w:rsidRPr="00E85339">
        <w:rPr>
          <w:lang w:val="fr-CA"/>
        </w:rPr>
        <w:t xml:space="preserve">administration de naloxone, </w:t>
      </w:r>
      <w:r w:rsidR="0030371F" w:rsidRPr="00E85339">
        <w:rPr>
          <w:lang w:val="fr-CA"/>
        </w:rPr>
        <w:t xml:space="preserve">ne donnent pas les résultats escomptés quand </w:t>
      </w:r>
      <w:r w:rsidRPr="00E85339">
        <w:rPr>
          <w:lang w:val="fr-CA"/>
        </w:rPr>
        <w:t>des substances inconnues ont été consommées</w:t>
      </w:r>
      <w:r w:rsidR="0030371F" w:rsidRPr="00E85339">
        <w:rPr>
          <w:lang w:val="fr-CA"/>
        </w:rPr>
        <w:t xml:space="preserve">, ce qui peut </w:t>
      </w:r>
      <w:r w:rsidRPr="00E85339">
        <w:rPr>
          <w:lang w:val="fr-CA"/>
        </w:rPr>
        <w:t xml:space="preserve">entraîner </w:t>
      </w:r>
      <w:r w:rsidR="0030371F" w:rsidRPr="00E85339">
        <w:rPr>
          <w:lang w:val="fr-CA"/>
        </w:rPr>
        <w:t>des</w:t>
      </w:r>
      <w:r w:rsidRPr="00E85339">
        <w:rPr>
          <w:lang w:val="fr-CA"/>
        </w:rPr>
        <w:t xml:space="preserve"> décès</w:t>
      </w:r>
      <w:r w:rsidR="0030371F" w:rsidRPr="00E85339">
        <w:rPr>
          <w:lang w:val="fr-CA"/>
        </w:rPr>
        <w:t xml:space="preserve"> et se traduire par un </w:t>
      </w:r>
      <w:r w:rsidRPr="00E85339">
        <w:rPr>
          <w:lang w:val="fr-CA"/>
        </w:rPr>
        <w:t xml:space="preserve">épuisement et des traumatismes secondaires </w:t>
      </w:r>
      <w:r w:rsidR="0030371F" w:rsidRPr="00E85339">
        <w:rPr>
          <w:lang w:val="fr-CA"/>
        </w:rPr>
        <w:t>chez</w:t>
      </w:r>
      <w:r w:rsidRPr="00E85339">
        <w:rPr>
          <w:lang w:val="fr-CA"/>
        </w:rPr>
        <w:t xml:space="preserve"> les personnes concernées</w:t>
      </w:r>
      <w:r w:rsidRPr="00E85339">
        <w:rPr>
          <w:b/>
          <w:bCs/>
          <w:lang w:val="fr-CA"/>
        </w:rPr>
        <w:t>.</w:t>
      </w:r>
    </w:p>
    <w:p w14:paraId="4730FE5B" w14:textId="05077849" w:rsidR="001B3BED" w:rsidRPr="00E85339" w:rsidRDefault="005D7C21" w:rsidP="00912F34">
      <w:pPr>
        <w:pStyle w:val="ListParagraph"/>
        <w:numPr>
          <w:ilvl w:val="0"/>
          <w:numId w:val="3"/>
        </w:numPr>
        <w:rPr>
          <w:lang w:val="fr-CA"/>
        </w:rPr>
      </w:pPr>
      <w:r>
        <w:rPr>
          <w:b/>
          <w:bCs/>
          <w:lang w:val="fr-CA"/>
        </w:rPr>
        <w:t xml:space="preserve">Le recours aux </w:t>
      </w:r>
      <w:r w:rsidR="001B3BED" w:rsidRPr="00E85339">
        <w:rPr>
          <w:b/>
          <w:bCs/>
          <w:lang w:val="fr-CA"/>
        </w:rPr>
        <w:t xml:space="preserve">traitements et </w:t>
      </w:r>
      <w:r>
        <w:rPr>
          <w:b/>
          <w:bCs/>
          <w:lang w:val="fr-CA"/>
        </w:rPr>
        <w:t>aux</w:t>
      </w:r>
      <w:r w:rsidR="00075CF1" w:rsidRPr="00E85339">
        <w:rPr>
          <w:b/>
          <w:bCs/>
          <w:lang w:val="fr-CA"/>
        </w:rPr>
        <w:t xml:space="preserve"> services</w:t>
      </w:r>
      <w:r w:rsidR="001B3BED" w:rsidRPr="00E85339">
        <w:rPr>
          <w:b/>
          <w:bCs/>
          <w:lang w:val="fr-CA"/>
        </w:rPr>
        <w:t xml:space="preserve"> de santé</w:t>
      </w:r>
      <w:r>
        <w:rPr>
          <w:b/>
          <w:bCs/>
          <w:lang w:val="fr-CA"/>
        </w:rPr>
        <w:t xml:space="preserve"> est peu élevé.</w:t>
      </w:r>
      <w:r w:rsidR="00075CF1" w:rsidRPr="00E85339">
        <w:rPr>
          <w:lang w:val="fr-CA"/>
        </w:rPr>
        <w:t xml:space="preserve"> </w:t>
      </w:r>
      <w:r w:rsidR="001B3BED" w:rsidRPr="00E85339">
        <w:rPr>
          <w:lang w:val="fr-CA"/>
        </w:rPr>
        <w:t xml:space="preserve">Lorsque des personnes qui consomment des opioïdes ne peuvent s’approvisionner que sur le </w:t>
      </w:r>
      <w:r w:rsidR="00E63DEB" w:rsidRPr="00E85339">
        <w:rPr>
          <w:lang w:val="fr-CA"/>
        </w:rPr>
        <w:t>marché non réglementé</w:t>
      </w:r>
      <w:r w:rsidR="00075CF1" w:rsidRPr="00E85339">
        <w:rPr>
          <w:lang w:val="fr-CA"/>
        </w:rPr>
        <w:t xml:space="preserve">, </w:t>
      </w:r>
      <w:r>
        <w:rPr>
          <w:lang w:val="fr-CA"/>
        </w:rPr>
        <w:t>elles ont peu recours, voire pas du tout, aux services sociaux et de santé</w:t>
      </w:r>
      <w:r w:rsidR="00912F34" w:rsidRPr="00E85339">
        <w:rPr>
          <w:lang w:val="fr-CA"/>
        </w:rPr>
        <w:t>.</w:t>
      </w:r>
    </w:p>
    <w:p w14:paraId="2DEEB55D" w14:textId="31AF53C2" w:rsidR="00075CF1" w:rsidRPr="00E85339" w:rsidRDefault="008B7704" w:rsidP="003137A4">
      <w:pPr>
        <w:pStyle w:val="Heading2"/>
      </w:pPr>
      <w:r w:rsidRPr="00E85339">
        <w:t>Points à examiner</w:t>
      </w:r>
      <w:r w:rsidR="00A0368B" w:rsidRPr="00E85339">
        <w:t> </w:t>
      </w:r>
      <w:r w:rsidR="00075CF1" w:rsidRPr="00E85339">
        <w:t xml:space="preserve">: </w:t>
      </w:r>
    </w:p>
    <w:p w14:paraId="39B08741" w14:textId="32CCDAD2" w:rsidR="00075CF1" w:rsidRPr="00E85339" w:rsidRDefault="00075CF1" w:rsidP="00075CF1">
      <w:pPr>
        <w:rPr>
          <w:lang w:val="fr-CA"/>
        </w:rPr>
      </w:pPr>
      <w:r w:rsidRPr="00E85339">
        <w:rPr>
          <w:b/>
          <w:bCs/>
          <w:lang w:val="fr-CA"/>
        </w:rPr>
        <w:t xml:space="preserve">1. </w:t>
      </w:r>
      <w:r w:rsidR="00912F34" w:rsidRPr="00E85339">
        <w:rPr>
          <w:b/>
          <w:bCs/>
          <w:lang w:val="fr-CA"/>
        </w:rPr>
        <w:t>En quoi</w:t>
      </w:r>
      <w:r w:rsidR="001B3BED" w:rsidRPr="00E85339">
        <w:rPr>
          <w:b/>
          <w:bCs/>
          <w:lang w:val="fr-CA"/>
        </w:rPr>
        <w:t xml:space="preserve"> le processus d</w:t>
      </w:r>
      <w:r w:rsidR="00A0368B" w:rsidRPr="00E85339">
        <w:rPr>
          <w:b/>
          <w:bCs/>
          <w:lang w:val="fr-CA"/>
        </w:rPr>
        <w:t>’</w:t>
      </w:r>
      <w:r w:rsidR="001B3BED" w:rsidRPr="00E85339">
        <w:rPr>
          <w:b/>
          <w:bCs/>
          <w:lang w:val="fr-CA"/>
        </w:rPr>
        <w:t xml:space="preserve">approvisionnement en </w:t>
      </w:r>
      <w:r w:rsidR="00912F34" w:rsidRPr="00E85339">
        <w:rPr>
          <w:b/>
          <w:bCs/>
          <w:lang w:val="fr-CA"/>
        </w:rPr>
        <w:t>substance</w:t>
      </w:r>
      <w:r w:rsidR="001B3BED" w:rsidRPr="00E85339">
        <w:rPr>
          <w:b/>
          <w:bCs/>
          <w:lang w:val="fr-CA"/>
        </w:rPr>
        <w:t xml:space="preserve">s toxiques </w:t>
      </w:r>
      <w:r w:rsidR="00912F34" w:rsidRPr="00E85339">
        <w:rPr>
          <w:b/>
          <w:bCs/>
          <w:lang w:val="fr-CA"/>
        </w:rPr>
        <w:t>est-il en adéquation avec</w:t>
      </w:r>
      <w:r w:rsidR="001B3BED" w:rsidRPr="00E85339">
        <w:rPr>
          <w:b/>
          <w:bCs/>
          <w:lang w:val="fr-CA"/>
        </w:rPr>
        <w:t xml:space="preserve"> les autres pratiques de santé publique</w:t>
      </w:r>
      <w:r w:rsidR="00A0368B" w:rsidRPr="00E85339">
        <w:rPr>
          <w:b/>
          <w:bCs/>
          <w:lang w:val="fr-CA"/>
        </w:rPr>
        <w:t> </w:t>
      </w:r>
      <w:r w:rsidR="001B3BED" w:rsidRPr="00E85339">
        <w:rPr>
          <w:b/>
          <w:bCs/>
          <w:lang w:val="fr-CA"/>
        </w:rPr>
        <w:t>?</w:t>
      </w:r>
    </w:p>
    <w:p w14:paraId="4441939E" w14:textId="3B8D0614" w:rsidR="00017D99" w:rsidRPr="00E85339" w:rsidRDefault="00EE6052" w:rsidP="00075CF1">
      <w:pPr>
        <w:numPr>
          <w:ilvl w:val="0"/>
          <w:numId w:val="4"/>
        </w:numPr>
        <w:rPr>
          <w:lang w:val="fr-CA"/>
        </w:rPr>
      </w:pPr>
      <w:r w:rsidRPr="00E85339">
        <w:rPr>
          <w:lang w:val="fr-CA"/>
        </w:rPr>
        <w:t>De nombreuses personnes qui consomment des substances n</w:t>
      </w:r>
      <w:r w:rsidR="00A0368B" w:rsidRPr="00E85339">
        <w:rPr>
          <w:lang w:val="fr-CA"/>
        </w:rPr>
        <w:t>’</w:t>
      </w:r>
      <w:r w:rsidRPr="00E85339">
        <w:rPr>
          <w:lang w:val="fr-CA"/>
        </w:rPr>
        <w:t>ont d</w:t>
      </w:r>
      <w:r w:rsidR="00A0368B" w:rsidRPr="00E85339">
        <w:rPr>
          <w:lang w:val="fr-CA"/>
        </w:rPr>
        <w:t>’</w:t>
      </w:r>
      <w:r w:rsidRPr="00E85339">
        <w:rPr>
          <w:lang w:val="fr-CA"/>
        </w:rPr>
        <w:t>autre choix que de se procurer des drogues illicites. Elles risquent donc de</w:t>
      </w:r>
      <w:r w:rsidR="005D7C21">
        <w:rPr>
          <w:lang w:val="fr-CA"/>
        </w:rPr>
        <w:t xml:space="preserve"> commettre des actes criminels</w:t>
      </w:r>
      <w:r w:rsidRPr="00E85339">
        <w:rPr>
          <w:lang w:val="fr-CA"/>
        </w:rPr>
        <w:t xml:space="preserve"> et </w:t>
      </w:r>
      <w:r w:rsidR="00A0368B" w:rsidRPr="00E85339">
        <w:rPr>
          <w:lang w:val="fr-CA"/>
        </w:rPr>
        <w:t>d’</w:t>
      </w:r>
      <w:r w:rsidR="007E68CB" w:rsidRPr="00E85339">
        <w:rPr>
          <w:lang w:val="fr-CA"/>
        </w:rPr>
        <w:t>être victime</w:t>
      </w:r>
      <w:r w:rsidR="00A0368B" w:rsidRPr="00E85339">
        <w:rPr>
          <w:lang w:val="fr-CA"/>
        </w:rPr>
        <w:t>s</w:t>
      </w:r>
      <w:r w:rsidR="007E68CB" w:rsidRPr="00E85339">
        <w:rPr>
          <w:lang w:val="fr-CA"/>
        </w:rPr>
        <w:t xml:space="preserve"> d’</w:t>
      </w:r>
      <w:r w:rsidRPr="00E85339">
        <w:rPr>
          <w:lang w:val="fr-CA"/>
        </w:rPr>
        <w:t>une contamination potentiellement mortelle. En quoi cette situation est-elle en adéquation avec les autres pratiques de protection des consommateurs en matière de santé</w:t>
      </w:r>
      <w:r w:rsidR="00A0368B" w:rsidRPr="00E85339">
        <w:rPr>
          <w:lang w:val="fr-CA"/>
        </w:rPr>
        <w:t> </w:t>
      </w:r>
      <w:r w:rsidRPr="00E85339">
        <w:rPr>
          <w:lang w:val="fr-CA"/>
        </w:rPr>
        <w:t>?</w:t>
      </w:r>
    </w:p>
    <w:p w14:paraId="22C8E76C" w14:textId="052A7C17" w:rsidR="00075CF1" w:rsidRPr="00E85339" w:rsidRDefault="00075CF1" w:rsidP="00075CF1">
      <w:pPr>
        <w:rPr>
          <w:b/>
          <w:bCs/>
          <w:lang w:val="fr-CA"/>
        </w:rPr>
      </w:pPr>
      <w:r w:rsidRPr="00E85339">
        <w:rPr>
          <w:b/>
          <w:bCs/>
          <w:lang w:val="fr-CA"/>
        </w:rPr>
        <w:t xml:space="preserve">2. </w:t>
      </w:r>
      <w:r w:rsidR="008B7704" w:rsidRPr="00E85339">
        <w:rPr>
          <w:b/>
          <w:bCs/>
          <w:lang w:val="fr-CA"/>
        </w:rPr>
        <w:t>Les ressources publiques sont-elles utilisées à bon escient pour</w:t>
      </w:r>
      <w:r w:rsidRPr="00E85339">
        <w:rPr>
          <w:b/>
          <w:bCs/>
          <w:lang w:val="fr-CA"/>
        </w:rPr>
        <w:t xml:space="preserve"> </w:t>
      </w:r>
      <w:r w:rsidR="008B7704" w:rsidRPr="00E85339">
        <w:rPr>
          <w:b/>
          <w:bCs/>
          <w:lang w:val="fr-CA"/>
        </w:rPr>
        <w:t>lutter contre</w:t>
      </w:r>
      <w:r w:rsidRPr="00E85339">
        <w:rPr>
          <w:b/>
          <w:bCs/>
          <w:lang w:val="fr-CA"/>
        </w:rPr>
        <w:t xml:space="preserve"> </w:t>
      </w:r>
      <w:r w:rsidR="007B16D6" w:rsidRPr="00E85339">
        <w:rPr>
          <w:b/>
          <w:bCs/>
          <w:lang w:val="fr-CA"/>
        </w:rPr>
        <w:t>la crise des intoxications aux drogues</w:t>
      </w:r>
      <w:r w:rsidR="00A0368B" w:rsidRPr="00E85339">
        <w:rPr>
          <w:b/>
          <w:bCs/>
          <w:lang w:val="fr-CA"/>
        </w:rPr>
        <w:t> </w:t>
      </w:r>
      <w:r w:rsidRPr="00E85339">
        <w:rPr>
          <w:b/>
          <w:bCs/>
          <w:lang w:val="fr-CA"/>
        </w:rPr>
        <w:t>?</w:t>
      </w:r>
    </w:p>
    <w:p w14:paraId="0813C2A4" w14:textId="2A9BB009" w:rsidR="001F76C3" w:rsidRPr="00E85339" w:rsidRDefault="001F76C3" w:rsidP="00075CF1">
      <w:pPr>
        <w:numPr>
          <w:ilvl w:val="0"/>
          <w:numId w:val="5"/>
        </w:numPr>
        <w:rPr>
          <w:lang w:val="fr-CA"/>
        </w:rPr>
      </w:pPr>
      <w:r w:rsidRPr="00E85339">
        <w:rPr>
          <w:lang w:val="fr-CA"/>
        </w:rPr>
        <w:t xml:space="preserve">Si, parmi les fonds publics actuellement alloués aux tribunaux, à la police et aux services correctionnels, certains étaient réorientés au profit de services de prévention, de réduction des </w:t>
      </w:r>
      <w:r w:rsidR="005D7C21">
        <w:rPr>
          <w:lang w:val="fr-CA"/>
        </w:rPr>
        <w:t>méfaits</w:t>
      </w:r>
      <w:r w:rsidRPr="00E85339">
        <w:rPr>
          <w:lang w:val="fr-CA"/>
        </w:rPr>
        <w:t xml:space="preserve"> et de traitement appropriés et en temps opportun, </w:t>
      </w:r>
      <w:r w:rsidR="00EE6052" w:rsidRPr="00E85339">
        <w:rPr>
          <w:lang w:val="fr-CA"/>
        </w:rPr>
        <w:t>cela</w:t>
      </w:r>
      <w:r w:rsidRPr="00E85339">
        <w:rPr>
          <w:lang w:val="fr-CA"/>
        </w:rPr>
        <w:t xml:space="preserve"> permettrait-</w:t>
      </w:r>
      <w:r w:rsidR="00EE6052" w:rsidRPr="00E85339">
        <w:rPr>
          <w:lang w:val="fr-CA"/>
        </w:rPr>
        <w:t>il</w:t>
      </w:r>
      <w:r w:rsidRPr="00E85339">
        <w:rPr>
          <w:lang w:val="fr-CA"/>
        </w:rPr>
        <w:t xml:space="preserve"> de réduire la </w:t>
      </w:r>
      <w:r w:rsidRPr="00E85339">
        <w:rPr>
          <w:lang w:val="fr-CA"/>
        </w:rPr>
        <w:lastRenderedPageBreak/>
        <w:t xml:space="preserve">criminalité, </w:t>
      </w:r>
      <w:r w:rsidR="00EE6052" w:rsidRPr="00E85339">
        <w:rPr>
          <w:lang w:val="fr-CA"/>
        </w:rPr>
        <w:t xml:space="preserve">l’utilisation et le coût des services de santé d’urgence </w:t>
      </w:r>
      <w:r w:rsidRPr="00E85339">
        <w:rPr>
          <w:lang w:val="fr-CA"/>
        </w:rPr>
        <w:t xml:space="preserve">et de prévenir les intoxications mortelles </w:t>
      </w:r>
      <w:r w:rsidR="00EE6052" w:rsidRPr="00E85339">
        <w:rPr>
          <w:lang w:val="fr-CA"/>
        </w:rPr>
        <w:t>aux</w:t>
      </w:r>
      <w:r w:rsidRPr="00E85339">
        <w:rPr>
          <w:lang w:val="fr-CA"/>
        </w:rPr>
        <w:t xml:space="preserve"> drogues</w:t>
      </w:r>
      <w:r w:rsidR="00A0368B" w:rsidRPr="00E85339">
        <w:rPr>
          <w:lang w:val="fr-CA"/>
        </w:rPr>
        <w:t> </w:t>
      </w:r>
      <w:r w:rsidRPr="00E85339">
        <w:rPr>
          <w:lang w:val="fr-CA"/>
        </w:rPr>
        <w:t>?</w:t>
      </w:r>
    </w:p>
    <w:p w14:paraId="3AF5FFB8" w14:textId="1E2E07AD" w:rsidR="00075CF1" w:rsidRPr="00E85339" w:rsidRDefault="00075CF1" w:rsidP="00075CF1">
      <w:pPr>
        <w:rPr>
          <w:lang w:val="fr-CA"/>
        </w:rPr>
      </w:pPr>
      <w:r w:rsidRPr="00E85339">
        <w:rPr>
          <w:b/>
          <w:bCs/>
          <w:lang w:val="fr-CA"/>
        </w:rPr>
        <w:t xml:space="preserve">3. </w:t>
      </w:r>
      <w:r w:rsidR="008B7704" w:rsidRPr="00E85339">
        <w:rPr>
          <w:b/>
          <w:bCs/>
          <w:lang w:val="fr-CA"/>
        </w:rPr>
        <w:t xml:space="preserve">La stigmatisation et les préjugés empêchent-ils l’adoption d’une ligne de conduite réfléchie pour mettre fin à </w:t>
      </w:r>
      <w:r w:rsidR="007B16D6" w:rsidRPr="00E85339">
        <w:rPr>
          <w:b/>
          <w:bCs/>
          <w:lang w:val="fr-CA"/>
        </w:rPr>
        <w:t>la crise des intoxications aux drogues</w:t>
      </w:r>
      <w:r w:rsidR="00A0368B" w:rsidRPr="00E85339">
        <w:rPr>
          <w:b/>
          <w:bCs/>
          <w:lang w:val="fr-CA"/>
        </w:rPr>
        <w:t> </w:t>
      </w:r>
      <w:r w:rsidRPr="00E85339">
        <w:rPr>
          <w:b/>
          <w:bCs/>
          <w:lang w:val="fr-CA"/>
        </w:rPr>
        <w:t>?</w:t>
      </w:r>
    </w:p>
    <w:p w14:paraId="3DEFBCFD" w14:textId="3D0E6BFB" w:rsidR="00690472" w:rsidRPr="00E85339" w:rsidRDefault="00690472" w:rsidP="00075CF1">
      <w:pPr>
        <w:numPr>
          <w:ilvl w:val="0"/>
          <w:numId w:val="6"/>
        </w:numPr>
        <w:rPr>
          <w:lang w:val="fr-CA"/>
        </w:rPr>
      </w:pPr>
      <w:r w:rsidRPr="00E85339">
        <w:rPr>
          <w:lang w:val="fr-CA"/>
        </w:rPr>
        <w:t>Quels sont les préjugés, les craintes, les préoccupations et les croyances qui sous-tendent la politique antidrogues actuelle</w:t>
      </w:r>
      <w:r w:rsidR="00A0368B" w:rsidRPr="00E85339">
        <w:rPr>
          <w:lang w:val="fr-CA"/>
        </w:rPr>
        <w:t> </w:t>
      </w:r>
      <w:r w:rsidRPr="00E85339">
        <w:rPr>
          <w:lang w:val="fr-CA"/>
        </w:rPr>
        <w:t xml:space="preserve">? </w:t>
      </w:r>
      <w:r w:rsidR="004C2537">
        <w:rPr>
          <w:lang w:val="fr-CA"/>
        </w:rPr>
        <w:t>So</w:t>
      </w:r>
      <w:r w:rsidR="005D7C21">
        <w:rPr>
          <w:lang w:val="fr-CA"/>
        </w:rPr>
        <w:t xml:space="preserve">nt-ils </w:t>
      </w:r>
      <w:r w:rsidR="004C2537">
        <w:rPr>
          <w:lang w:val="fr-CA"/>
        </w:rPr>
        <w:t xml:space="preserve">justifiés </w:t>
      </w:r>
      <w:r w:rsidRPr="00E85339">
        <w:rPr>
          <w:lang w:val="fr-CA"/>
        </w:rPr>
        <w:t>en 2023, compte tenu des connaissances et de l</w:t>
      </w:r>
      <w:r w:rsidR="00A0368B" w:rsidRPr="00E85339">
        <w:rPr>
          <w:lang w:val="fr-CA"/>
        </w:rPr>
        <w:t>’</w:t>
      </w:r>
      <w:r w:rsidRPr="00E85339">
        <w:rPr>
          <w:lang w:val="fr-CA"/>
        </w:rPr>
        <w:t>expérience dont nous disposons aujourd</w:t>
      </w:r>
      <w:r w:rsidR="00A0368B" w:rsidRPr="00E85339">
        <w:rPr>
          <w:lang w:val="fr-CA"/>
        </w:rPr>
        <w:t>’</w:t>
      </w:r>
      <w:r w:rsidRPr="00E85339">
        <w:rPr>
          <w:lang w:val="fr-CA"/>
        </w:rPr>
        <w:t>hui</w:t>
      </w:r>
      <w:r w:rsidR="00A0368B" w:rsidRPr="00E85339">
        <w:rPr>
          <w:lang w:val="fr-CA"/>
        </w:rPr>
        <w:t> </w:t>
      </w:r>
      <w:r w:rsidRPr="00E85339">
        <w:rPr>
          <w:lang w:val="fr-CA"/>
        </w:rPr>
        <w:t>?</w:t>
      </w:r>
    </w:p>
    <w:p w14:paraId="212CCAEC" w14:textId="6934103C" w:rsidR="00075CF1" w:rsidRPr="00E85339" w:rsidRDefault="00075CF1" w:rsidP="00075CF1">
      <w:pPr>
        <w:rPr>
          <w:lang w:val="fr-CA"/>
        </w:rPr>
      </w:pPr>
      <w:r w:rsidRPr="00E85339">
        <w:rPr>
          <w:b/>
          <w:bCs/>
          <w:lang w:val="fr-CA"/>
        </w:rPr>
        <w:t xml:space="preserve">4. </w:t>
      </w:r>
      <w:r w:rsidR="00690472" w:rsidRPr="00E85339">
        <w:rPr>
          <w:b/>
          <w:bCs/>
          <w:lang w:val="fr-CA"/>
        </w:rPr>
        <w:t>Qu’en est-il de notre</w:t>
      </w:r>
      <w:r w:rsidRPr="00E85339">
        <w:rPr>
          <w:b/>
          <w:bCs/>
          <w:lang w:val="fr-CA"/>
        </w:rPr>
        <w:t xml:space="preserve"> approch</w:t>
      </w:r>
      <w:r w:rsidR="00690472" w:rsidRPr="00E85339">
        <w:rPr>
          <w:b/>
          <w:bCs/>
          <w:lang w:val="fr-CA"/>
        </w:rPr>
        <w:t>e face à</w:t>
      </w:r>
      <w:r w:rsidRPr="00E85339">
        <w:rPr>
          <w:b/>
          <w:bCs/>
          <w:lang w:val="fr-CA"/>
        </w:rPr>
        <w:t xml:space="preserve"> </w:t>
      </w:r>
      <w:r w:rsidR="007B16D6" w:rsidRPr="00E85339">
        <w:rPr>
          <w:b/>
          <w:bCs/>
          <w:lang w:val="fr-CA"/>
        </w:rPr>
        <w:t>la crise des intoxications aux drogues</w:t>
      </w:r>
      <w:r w:rsidR="00A0368B" w:rsidRPr="00E85339">
        <w:rPr>
          <w:b/>
          <w:bCs/>
          <w:lang w:val="fr-CA"/>
        </w:rPr>
        <w:t> </w:t>
      </w:r>
      <w:r w:rsidRPr="00E85339">
        <w:rPr>
          <w:b/>
          <w:bCs/>
          <w:lang w:val="fr-CA"/>
        </w:rPr>
        <w:t>?</w:t>
      </w:r>
    </w:p>
    <w:p w14:paraId="6B0A2EFB" w14:textId="4BFE5E25" w:rsidR="001F76C3" w:rsidRDefault="001F76C3" w:rsidP="00075CF1">
      <w:pPr>
        <w:numPr>
          <w:ilvl w:val="0"/>
          <w:numId w:val="7"/>
        </w:numPr>
        <w:rPr>
          <w:lang w:val="fr-CA"/>
        </w:rPr>
      </w:pPr>
      <w:r w:rsidRPr="00E85339">
        <w:rPr>
          <w:lang w:val="fr-CA"/>
        </w:rPr>
        <w:t>Si vous avez besoin d</w:t>
      </w:r>
      <w:r w:rsidR="00A0368B" w:rsidRPr="00E85339">
        <w:rPr>
          <w:lang w:val="fr-CA"/>
        </w:rPr>
        <w:t>’</w:t>
      </w:r>
      <w:r w:rsidRPr="00E85339">
        <w:rPr>
          <w:lang w:val="fr-CA"/>
        </w:rPr>
        <w:t>un médicament sur ordonnance pour traiter un problème de santé</w:t>
      </w:r>
      <w:r w:rsidR="008D7C78" w:rsidRPr="00E85339">
        <w:rPr>
          <w:lang w:val="fr-CA"/>
        </w:rPr>
        <w:t xml:space="preserve">, </w:t>
      </w:r>
      <w:r w:rsidRPr="00E85339">
        <w:rPr>
          <w:lang w:val="fr-CA"/>
        </w:rPr>
        <w:t>accepteriez-vous de devoir vous procurer ce médicament sur un marché non réglementé, sachant qu</w:t>
      </w:r>
      <w:r w:rsidR="00A0368B" w:rsidRPr="00E85339">
        <w:rPr>
          <w:lang w:val="fr-CA"/>
        </w:rPr>
        <w:t>’</w:t>
      </w:r>
      <w:r w:rsidRPr="00E85339">
        <w:rPr>
          <w:lang w:val="fr-CA"/>
        </w:rPr>
        <w:t>il est susceptible d</w:t>
      </w:r>
      <w:r w:rsidR="00A0368B" w:rsidRPr="00E85339">
        <w:rPr>
          <w:lang w:val="fr-CA"/>
        </w:rPr>
        <w:t>’</w:t>
      </w:r>
      <w:r w:rsidRPr="00E85339">
        <w:rPr>
          <w:lang w:val="fr-CA"/>
        </w:rPr>
        <w:t>être contaminé et de vous tuer</w:t>
      </w:r>
      <w:r w:rsidR="00A0368B" w:rsidRPr="00E85339">
        <w:rPr>
          <w:lang w:val="fr-CA"/>
        </w:rPr>
        <w:t> </w:t>
      </w:r>
      <w:r w:rsidRPr="00E85339">
        <w:rPr>
          <w:lang w:val="fr-CA"/>
        </w:rPr>
        <w:t>?</w:t>
      </w:r>
    </w:p>
    <w:p w14:paraId="0C18CD21" w14:textId="6187E36C" w:rsidR="003137A4" w:rsidRDefault="003137A4" w:rsidP="003137A4">
      <w:pPr>
        <w:pStyle w:val="Heading3"/>
        <w:rPr>
          <w:lang w:val="fr-CA"/>
        </w:rPr>
      </w:pPr>
      <w:r>
        <w:rPr>
          <w:lang w:val="fr-CA"/>
        </w:rPr>
        <w:t xml:space="preserve">References : </w:t>
      </w:r>
    </w:p>
    <w:p w14:paraId="75064A93" w14:textId="77777777" w:rsidR="00000000" w:rsidRPr="003137A4" w:rsidRDefault="00C63322" w:rsidP="003137A4">
      <w:pPr>
        <w:numPr>
          <w:ilvl w:val="0"/>
          <w:numId w:val="9"/>
        </w:numPr>
      </w:pPr>
      <w:r w:rsidRPr="003137A4">
        <w:rPr>
          <w:lang w:val="en-CA"/>
        </w:rPr>
        <w:t xml:space="preserve">Toronto’s Drug Checking Service. (2023). Available: </w:t>
      </w:r>
      <w:hyperlink r:id="rId27" w:history="1">
        <w:r w:rsidRPr="003137A4">
          <w:rPr>
            <w:rStyle w:val="Hyperlink"/>
            <w:lang w:val="en-CA"/>
          </w:rPr>
          <w:t>https://drugchecking.cdpe.org/#checked-samples-by-expected-drug</w:t>
        </w:r>
      </w:hyperlink>
      <w:r w:rsidRPr="003137A4">
        <w:rPr>
          <w:lang w:val="en-CA"/>
        </w:rPr>
        <w:t xml:space="preserve"> Accessed January 2023. </w:t>
      </w:r>
    </w:p>
    <w:p w14:paraId="0D67DE12" w14:textId="77777777" w:rsidR="00000000" w:rsidRPr="003137A4" w:rsidRDefault="00C63322" w:rsidP="003137A4">
      <w:pPr>
        <w:numPr>
          <w:ilvl w:val="0"/>
          <w:numId w:val="9"/>
        </w:numPr>
      </w:pPr>
      <w:r w:rsidRPr="003137A4">
        <w:rPr>
          <w:lang w:val="en-CA"/>
        </w:rPr>
        <w:t xml:space="preserve">Toronto’s Drug Checking Service. (2023). Available: </w:t>
      </w:r>
      <w:hyperlink r:id="rId28" w:history="1">
        <w:r w:rsidRPr="003137A4">
          <w:rPr>
            <w:rStyle w:val="Hyperlink"/>
            <w:lang w:val="en-CA"/>
          </w:rPr>
          <w:t>https://drugchecking.cdpe.org/#presence-of-the-expected-drug</w:t>
        </w:r>
      </w:hyperlink>
      <w:r w:rsidRPr="003137A4">
        <w:rPr>
          <w:lang w:val="en-CA"/>
        </w:rPr>
        <w:t xml:space="preserve"> . Accessed January 2023. </w:t>
      </w:r>
    </w:p>
    <w:p w14:paraId="352C7E6D" w14:textId="5B8C89DE" w:rsidR="003137A4" w:rsidRPr="003137A4" w:rsidRDefault="00C63322" w:rsidP="003137A4">
      <w:pPr>
        <w:numPr>
          <w:ilvl w:val="0"/>
          <w:numId w:val="9"/>
        </w:numPr>
      </w:pPr>
      <w:r w:rsidRPr="003137A4">
        <w:rPr>
          <w:lang w:val="en-CA"/>
        </w:rPr>
        <w:t>Toronto’s Drug Checking Ser</w:t>
      </w:r>
      <w:r w:rsidRPr="003137A4">
        <w:rPr>
          <w:lang w:val="en-CA"/>
        </w:rPr>
        <w:t xml:space="preserve">vice. (2023). Available: </w:t>
      </w:r>
      <w:hyperlink r:id="rId29" w:history="1">
        <w:r w:rsidRPr="003137A4">
          <w:rPr>
            <w:rStyle w:val="Hyperlink"/>
            <w:lang w:val="en-CA"/>
          </w:rPr>
          <w:t>https://drugchecking.cdpe.org/#other-drugs-found</w:t>
        </w:r>
      </w:hyperlink>
      <w:r w:rsidRPr="003137A4">
        <w:rPr>
          <w:lang w:val="en-CA"/>
        </w:rPr>
        <w:t xml:space="preserve">. Accessed January 2023. </w:t>
      </w:r>
    </w:p>
    <w:p w14:paraId="786E9CBC" w14:textId="287ADA63" w:rsidR="003137A4" w:rsidRDefault="003137A4" w:rsidP="003137A4">
      <w:pPr>
        <w:pStyle w:val="Heading3"/>
        <w:rPr>
          <w:lang w:val="fr-CA"/>
        </w:rPr>
      </w:pPr>
      <w:r>
        <w:rPr>
          <w:lang w:val="fr-CA"/>
        </w:rPr>
        <w:t xml:space="preserve">Note : </w:t>
      </w:r>
    </w:p>
    <w:p w14:paraId="6E66D40B" w14:textId="77777777" w:rsidR="003137A4" w:rsidRPr="003137A4" w:rsidRDefault="003137A4" w:rsidP="003137A4">
      <w:r w:rsidRPr="003137A4">
        <w:rPr>
          <w:lang w:val="fr-FR"/>
        </w:rPr>
        <w:t>La présente activité d’échange de connaissances est soutenue par le Réseau d’échange de données probantes (EENet), qui fait partie du Programme de soutien au système provincial du Centre de toxicomanie et de santé mentale (CAMH). Le réseau EENet existe grâce à la contribution financière de Santé Ontario (SO). Les opinions qui y sont exprimées ne reflètent pas nécessairement les positions de SO ou de CAMH.</w:t>
      </w:r>
      <w:r w:rsidRPr="003137A4">
        <w:t xml:space="preserve"> </w:t>
      </w:r>
    </w:p>
    <w:p w14:paraId="4CCF88A6" w14:textId="77777777" w:rsidR="003137A4" w:rsidRPr="00E85339" w:rsidRDefault="003137A4" w:rsidP="003137A4">
      <w:pPr>
        <w:rPr>
          <w:lang w:val="fr-CA"/>
        </w:rPr>
      </w:pPr>
    </w:p>
    <w:p w14:paraId="649B6142" w14:textId="77777777" w:rsidR="00075CF1" w:rsidRPr="00E85339" w:rsidRDefault="00075CF1" w:rsidP="00075CF1">
      <w:pPr>
        <w:rPr>
          <w:lang w:val="fr-CA"/>
        </w:rPr>
      </w:pPr>
    </w:p>
    <w:sectPr w:rsidR="00075CF1" w:rsidRPr="00E85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E5CB" w14:textId="77777777" w:rsidR="00C63322" w:rsidRDefault="00C63322" w:rsidP="00A0368B">
      <w:pPr>
        <w:spacing w:after="0" w:line="240" w:lineRule="auto"/>
      </w:pPr>
      <w:r>
        <w:separator/>
      </w:r>
    </w:p>
  </w:endnote>
  <w:endnote w:type="continuationSeparator" w:id="0">
    <w:p w14:paraId="1014F433" w14:textId="77777777" w:rsidR="00C63322" w:rsidRDefault="00C63322" w:rsidP="00A0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D9B64" w14:textId="77777777" w:rsidR="00C63322" w:rsidRDefault="00C63322" w:rsidP="00A0368B">
      <w:pPr>
        <w:spacing w:after="0" w:line="240" w:lineRule="auto"/>
      </w:pPr>
      <w:r>
        <w:separator/>
      </w:r>
    </w:p>
  </w:footnote>
  <w:footnote w:type="continuationSeparator" w:id="0">
    <w:p w14:paraId="12FDBA8F" w14:textId="77777777" w:rsidR="00C63322" w:rsidRDefault="00C63322" w:rsidP="00A0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914"/>
    <w:multiLevelType w:val="hybridMultilevel"/>
    <w:tmpl w:val="BF4C6ED2"/>
    <w:lvl w:ilvl="0" w:tplc="F6AA641E">
      <w:start w:val="1"/>
      <w:numFmt w:val="bullet"/>
      <w:lvlText w:val="•"/>
      <w:lvlJc w:val="left"/>
      <w:pPr>
        <w:tabs>
          <w:tab w:val="num" w:pos="720"/>
        </w:tabs>
        <w:ind w:left="720" w:hanging="360"/>
      </w:pPr>
      <w:rPr>
        <w:rFonts w:ascii="Arial" w:hAnsi="Arial" w:hint="default"/>
      </w:rPr>
    </w:lvl>
    <w:lvl w:ilvl="1" w:tplc="5CACB692" w:tentative="1">
      <w:start w:val="1"/>
      <w:numFmt w:val="bullet"/>
      <w:lvlText w:val="•"/>
      <w:lvlJc w:val="left"/>
      <w:pPr>
        <w:tabs>
          <w:tab w:val="num" w:pos="1440"/>
        </w:tabs>
        <w:ind w:left="1440" w:hanging="360"/>
      </w:pPr>
      <w:rPr>
        <w:rFonts w:ascii="Arial" w:hAnsi="Arial" w:hint="default"/>
      </w:rPr>
    </w:lvl>
    <w:lvl w:ilvl="2" w:tplc="7DEA0D5C" w:tentative="1">
      <w:start w:val="1"/>
      <w:numFmt w:val="bullet"/>
      <w:lvlText w:val="•"/>
      <w:lvlJc w:val="left"/>
      <w:pPr>
        <w:tabs>
          <w:tab w:val="num" w:pos="2160"/>
        </w:tabs>
        <w:ind w:left="2160" w:hanging="360"/>
      </w:pPr>
      <w:rPr>
        <w:rFonts w:ascii="Arial" w:hAnsi="Arial" w:hint="default"/>
      </w:rPr>
    </w:lvl>
    <w:lvl w:ilvl="3" w:tplc="C1A2D788" w:tentative="1">
      <w:start w:val="1"/>
      <w:numFmt w:val="bullet"/>
      <w:lvlText w:val="•"/>
      <w:lvlJc w:val="left"/>
      <w:pPr>
        <w:tabs>
          <w:tab w:val="num" w:pos="2880"/>
        </w:tabs>
        <w:ind w:left="2880" w:hanging="360"/>
      </w:pPr>
      <w:rPr>
        <w:rFonts w:ascii="Arial" w:hAnsi="Arial" w:hint="default"/>
      </w:rPr>
    </w:lvl>
    <w:lvl w:ilvl="4" w:tplc="363AD052" w:tentative="1">
      <w:start w:val="1"/>
      <w:numFmt w:val="bullet"/>
      <w:lvlText w:val="•"/>
      <w:lvlJc w:val="left"/>
      <w:pPr>
        <w:tabs>
          <w:tab w:val="num" w:pos="3600"/>
        </w:tabs>
        <w:ind w:left="3600" w:hanging="360"/>
      </w:pPr>
      <w:rPr>
        <w:rFonts w:ascii="Arial" w:hAnsi="Arial" w:hint="default"/>
      </w:rPr>
    </w:lvl>
    <w:lvl w:ilvl="5" w:tplc="7AA47106" w:tentative="1">
      <w:start w:val="1"/>
      <w:numFmt w:val="bullet"/>
      <w:lvlText w:val="•"/>
      <w:lvlJc w:val="left"/>
      <w:pPr>
        <w:tabs>
          <w:tab w:val="num" w:pos="4320"/>
        </w:tabs>
        <w:ind w:left="4320" w:hanging="360"/>
      </w:pPr>
      <w:rPr>
        <w:rFonts w:ascii="Arial" w:hAnsi="Arial" w:hint="default"/>
      </w:rPr>
    </w:lvl>
    <w:lvl w:ilvl="6" w:tplc="54DAA742" w:tentative="1">
      <w:start w:val="1"/>
      <w:numFmt w:val="bullet"/>
      <w:lvlText w:val="•"/>
      <w:lvlJc w:val="left"/>
      <w:pPr>
        <w:tabs>
          <w:tab w:val="num" w:pos="5040"/>
        </w:tabs>
        <w:ind w:left="5040" w:hanging="360"/>
      </w:pPr>
      <w:rPr>
        <w:rFonts w:ascii="Arial" w:hAnsi="Arial" w:hint="default"/>
      </w:rPr>
    </w:lvl>
    <w:lvl w:ilvl="7" w:tplc="08724824" w:tentative="1">
      <w:start w:val="1"/>
      <w:numFmt w:val="bullet"/>
      <w:lvlText w:val="•"/>
      <w:lvlJc w:val="left"/>
      <w:pPr>
        <w:tabs>
          <w:tab w:val="num" w:pos="5760"/>
        </w:tabs>
        <w:ind w:left="5760" w:hanging="360"/>
      </w:pPr>
      <w:rPr>
        <w:rFonts w:ascii="Arial" w:hAnsi="Arial" w:hint="default"/>
      </w:rPr>
    </w:lvl>
    <w:lvl w:ilvl="8" w:tplc="2452AA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9E4"/>
    <w:multiLevelType w:val="hybridMultilevel"/>
    <w:tmpl w:val="A246D0B6"/>
    <w:lvl w:ilvl="0" w:tplc="5AFA8F6E">
      <w:start w:val="1"/>
      <w:numFmt w:val="bullet"/>
      <w:lvlText w:val="•"/>
      <w:lvlJc w:val="left"/>
      <w:pPr>
        <w:tabs>
          <w:tab w:val="num" w:pos="720"/>
        </w:tabs>
        <w:ind w:left="720" w:hanging="360"/>
      </w:pPr>
      <w:rPr>
        <w:rFonts w:ascii="Arial" w:hAnsi="Arial" w:hint="default"/>
      </w:rPr>
    </w:lvl>
    <w:lvl w:ilvl="1" w:tplc="191EFD90" w:tentative="1">
      <w:start w:val="1"/>
      <w:numFmt w:val="bullet"/>
      <w:lvlText w:val="•"/>
      <w:lvlJc w:val="left"/>
      <w:pPr>
        <w:tabs>
          <w:tab w:val="num" w:pos="1440"/>
        </w:tabs>
        <w:ind w:left="1440" w:hanging="360"/>
      </w:pPr>
      <w:rPr>
        <w:rFonts w:ascii="Arial" w:hAnsi="Arial" w:hint="default"/>
      </w:rPr>
    </w:lvl>
    <w:lvl w:ilvl="2" w:tplc="16901066" w:tentative="1">
      <w:start w:val="1"/>
      <w:numFmt w:val="bullet"/>
      <w:lvlText w:val="•"/>
      <w:lvlJc w:val="left"/>
      <w:pPr>
        <w:tabs>
          <w:tab w:val="num" w:pos="2160"/>
        </w:tabs>
        <w:ind w:left="2160" w:hanging="360"/>
      </w:pPr>
      <w:rPr>
        <w:rFonts w:ascii="Arial" w:hAnsi="Arial" w:hint="default"/>
      </w:rPr>
    </w:lvl>
    <w:lvl w:ilvl="3" w:tplc="800A7E06" w:tentative="1">
      <w:start w:val="1"/>
      <w:numFmt w:val="bullet"/>
      <w:lvlText w:val="•"/>
      <w:lvlJc w:val="left"/>
      <w:pPr>
        <w:tabs>
          <w:tab w:val="num" w:pos="2880"/>
        </w:tabs>
        <w:ind w:left="2880" w:hanging="360"/>
      </w:pPr>
      <w:rPr>
        <w:rFonts w:ascii="Arial" w:hAnsi="Arial" w:hint="default"/>
      </w:rPr>
    </w:lvl>
    <w:lvl w:ilvl="4" w:tplc="20560C5E" w:tentative="1">
      <w:start w:val="1"/>
      <w:numFmt w:val="bullet"/>
      <w:lvlText w:val="•"/>
      <w:lvlJc w:val="left"/>
      <w:pPr>
        <w:tabs>
          <w:tab w:val="num" w:pos="3600"/>
        </w:tabs>
        <w:ind w:left="3600" w:hanging="360"/>
      </w:pPr>
      <w:rPr>
        <w:rFonts w:ascii="Arial" w:hAnsi="Arial" w:hint="default"/>
      </w:rPr>
    </w:lvl>
    <w:lvl w:ilvl="5" w:tplc="BE72AE70" w:tentative="1">
      <w:start w:val="1"/>
      <w:numFmt w:val="bullet"/>
      <w:lvlText w:val="•"/>
      <w:lvlJc w:val="left"/>
      <w:pPr>
        <w:tabs>
          <w:tab w:val="num" w:pos="4320"/>
        </w:tabs>
        <w:ind w:left="4320" w:hanging="360"/>
      </w:pPr>
      <w:rPr>
        <w:rFonts w:ascii="Arial" w:hAnsi="Arial" w:hint="default"/>
      </w:rPr>
    </w:lvl>
    <w:lvl w:ilvl="6" w:tplc="7598D7D2" w:tentative="1">
      <w:start w:val="1"/>
      <w:numFmt w:val="bullet"/>
      <w:lvlText w:val="•"/>
      <w:lvlJc w:val="left"/>
      <w:pPr>
        <w:tabs>
          <w:tab w:val="num" w:pos="5040"/>
        </w:tabs>
        <w:ind w:left="5040" w:hanging="360"/>
      </w:pPr>
      <w:rPr>
        <w:rFonts w:ascii="Arial" w:hAnsi="Arial" w:hint="default"/>
      </w:rPr>
    </w:lvl>
    <w:lvl w:ilvl="7" w:tplc="1D441424" w:tentative="1">
      <w:start w:val="1"/>
      <w:numFmt w:val="bullet"/>
      <w:lvlText w:val="•"/>
      <w:lvlJc w:val="left"/>
      <w:pPr>
        <w:tabs>
          <w:tab w:val="num" w:pos="5760"/>
        </w:tabs>
        <w:ind w:left="5760" w:hanging="360"/>
      </w:pPr>
      <w:rPr>
        <w:rFonts w:ascii="Arial" w:hAnsi="Arial" w:hint="default"/>
      </w:rPr>
    </w:lvl>
    <w:lvl w:ilvl="8" w:tplc="230C0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F5A8C"/>
    <w:multiLevelType w:val="hybridMultilevel"/>
    <w:tmpl w:val="A39E9296"/>
    <w:lvl w:ilvl="0" w:tplc="BB3EBC4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3BA4"/>
    <w:multiLevelType w:val="hybridMultilevel"/>
    <w:tmpl w:val="A9001996"/>
    <w:lvl w:ilvl="0" w:tplc="05C0F774">
      <w:start w:val="1"/>
      <w:numFmt w:val="decimal"/>
      <w:lvlText w:val="%1."/>
      <w:lvlJc w:val="left"/>
      <w:pPr>
        <w:tabs>
          <w:tab w:val="num" w:pos="720"/>
        </w:tabs>
        <w:ind w:left="720" w:hanging="360"/>
      </w:pPr>
    </w:lvl>
    <w:lvl w:ilvl="1" w:tplc="D24642C8" w:tentative="1">
      <w:start w:val="1"/>
      <w:numFmt w:val="decimal"/>
      <w:lvlText w:val="%2."/>
      <w:lvlJc w:val="left"/>
      <w:pPr>
        <w:tabs>
          <w:tab w:val="num" w:pos="1440"/>
        </w:tabs>
        <w:ind w:left="1440" w:hanging="360"/>
      </w:pPr>
    </w:lvl>
    <w:lvl w:ilvl="2" w:tplc="7C18158E" w:tentative="1">
      <w:start w:val="1"/>
      <w:numFmt w:val="decimal"/>
      <w:lvlText w:val="%3."/>
      <w:lvlJc w:val="left"/>
      <w:pPr>
        <w:tabs>
          <w:tab w:val="num" w:pos="2160"/>
        </w:tabs>
        <w:ind w:left="2160" w:hanging="360"/>
      </w:pPr>
    </w:lvl>
    <w:lvl w:ilvl="3" w:tplc="6972B56C" w:tentative="1">
      <w:start w:val="1"/>
      <w:numFmt w:val="decimal"/>
      <w:lvlText w:val="%4."/>
      <w:lvlJc w:val="left"/>
      <w:pPr>
        <w:tabs>
          <w:tab w:val="num" w:pos="2880"/>
        </w:tabs>
        <w:ind w:left="2880" w:hanging="360"/>
      </w:pPr>
    </w:lvl>
    <w:lvl w:ilvl="4" w:tplc="A4085D66" w:tentative="1">
      <w:start w:val="1"/>
      <w:numFmt w:val="decimal"/>
      <w:lvlText w:val="%5."/>
      <w:lvlJc w:val="left"/>
      <w:pPr>
        <w:tabs>
          <w:tab w:val="num" w:pos="3600"/>
        </w:tabs>
        <w:ind w:left="3600" w:hanging="360"/>
      </w:pPr>
    </w:lvl>
    <w:lvl w:ilvl="5" w:tplc="AA680682" w:tentative="1">
      <w:start w:val="1"/>
      <w:numFmt w:val="decimal"/>
      <w:lvlText w:val="%6."/>
      <w:lvlJc w:val="left"/>
      <w:pPr>
        <w:tabs>
          <w:tab w:val="num" w:pos="4320"/>
        </w:tabs>
        <w:ind w:left="4320" w:hanging="360"/>
      </w:pPr>
    </w:lvl>
    <w:lvl w:ilvl="6" w:tplc="24ECEF24" w:tentative="1">
      <w:start w:val="1"/>
      <w:numFmt w:val="decimal"/>
      <w:lvlText w:val="%7."/>
      <w:lvlJc w:val="left"/>
      <w:pPr>
        <w:tabs>
          <w:tab w:val="num" w:pos="5040"/>
        </w:tabs>
        <w:ind w:left="5040" w:hanging="360"/>
      </w:pPr>
    </w:lvl>
    <w:lvl w:ilvl="7" w:tplc="F1EEE6BE" w:tentative="1">
      <w:start w:val="1"/>
      <w:numFmt w:val="decimal"/>
      <w:lvlText w:val="%8."/>
      <w:lvlJc w:val="left"/>
      <w:pPr>
        <w:tabs>
          <w:tab w:val="num" w:pos="5760"/>
        </w:tabs>
        <w:ind w:left="5760" w:hanging="360"/>
      </w:pPr>
    </w:lvl>
    <w:lvl w:ilvl="8" w:tplc="862A6D3E" w:tentative="1">
      <w:start w:val="1"/>
      <w:numFmt w:val="decimal"/>
      <w:lvlText w:val="%9."/>
      <w:lvlJc w:val="left"/>
      <w:pPr>
        <w:tabs>
          <w:tab w:val="num" w:pos="6480"/>
        </w:tabs>
        <w:ind w:left="6480" w:hanging="360"/>
      </w:pPr>
    </w:lvl>
  </w:abstractNum>
  <w:abstractNum w:abstractNumId="4" w15:restartNumberingAfterBreak="0">
    <w:nsid w:val="3EB14DF9"/>
    <w:multiLevelType w:val="hybridMultilevel"/>
    <w:tmpl w:val="FC1EAE20"/>
    <w:lvl w:ilvl="0" w:tplc="A4DC14F0">
      <w:start w:val="1"/>
      <w:numFmt w:val="bullet"/>
      <w:lvlText w:val="•"/>
      <w:lvlJc w:val="left"/>
      <w:pPr>
        <w:tabs>
          <w:tab w:val="num" w:pos="720"/>
        </w:tabs>
        <w:ind w:left="720" w:hanging="360"/>
      </w:pPr>
      <w:rPr>
        <w:rFonts w:ascii="Arial" w:hAnsi="Arial" w:hint="default"/>
      </w:rPr>
    </w:lvl>
    <w:lvl w:ilvl="1" w:tplc="B01E0B82" w:tentative="1">
      <w:start w:val="1"/>
      <w:numFmt w:val="bullet"/>
      <w:lvlText w:val="•"/>
      <w:lvlJc w:val="left"/>
      <w:pPr>
        <w:tabs>
          <w:tab w:val="num" w:pos="1440"/>
        </w:tabs>
        <w:ind w:left="1440" w:hanging="360"/>
      </w:pPr>
      <w:rPr>
        <w:rFonts w:ascii="Arial" w:hAnsi="Arial" w:hint="default"/>
      </w:rPr>
    </w:lvl>
    <w:lvl w:ilvl="2" w:tplc="B830B4A2" w:tentative="1">
      <w:start w:val="1"/>
      <w:numFmt w:val="bullet"/>
      <w:lvlText w:val="•"/>
      <w:lvlJc w:val="left"/>
      <w:pPr>
        <w:tabs>
          <w:tab w:val="num" w:pos="2160"/>
        </w:tabs>
        <w:ind w:left="2160" w:hanging="360"/>
      </w:pPr>
      <w:rPr>
        <w:rFonts w:ascii="Arial" w:hAnsi="Arial" w:hint="default"/>
      </w:rPr>
    </w:lvl>
    <w:lvl w:ilvl="3" w:tplc="5DCCEE26" w:tentative="1">
      <w:start w:val="1"/>
      <w:numFmt w:val="bullet"/>
      <w:lvlText w:val="•"/>
      <w:lvlJc w:val="left"/>
      <w:pPr>
        <w:tabs>
          <w:tab w:val="num" w:pos="2880"/>
        </w:tabs>
        <w:ind w:left="2880" w:hanging="360"/>
      </w:pPr>
      <w:rPr>
        <w:rFonts w:ascii="Arial" w:hAnsi="Arial" w:hint="default"/>
      </w:rPr>
    </w:lvl>
    <w:lvl w:ilvl="4" w:tplc="ED20806E" w:tentative="1">
      <w:start w:val="1"/>
      <w:numFmt w:val="bullet"/>
      <w:lvlText w:val="•"/>
      <w:lvlJc w:val="left"/>
      <w:pPr>
        <w:tabs>
          <w:tab w:val="num" w:pos="3600"/>
        </w:tabs>
        <w:ind w:left="3600" w:hanging="360"/>
      </w:pPr>
      <w:rPr>
        <w:rFonts w:ascii="Arial" w:hAnsi="Arial" w:hint="default"/>
      </w:rPr>
    </w:lvl>
    <w:lvl w:ilvl="5" w:tplc="75803926" w:tentative="1">
      <w:start w:val="1"/>
      <w:numFmt w:val="bullet"/>
      <w:lvlText w:val="•"/>
      <w:lvlJc w:val="left"/>
      <w:pPr>
        <w:tabs>
          <w:tab w:val="num" w:pos="4320"/>
        </w:tabs>
        <w:ind w:left="4320" w:hanging="360"/>
      </w:pPr>
      <w:rPr>
        <w:rFonts w:ascii="Arial" w:hAnsi="Arial" w:hint="default"/>
      </w:rPr>
    </w:lvl>
    <w:lvl w:ilvl="6" w:tplc="BECC28DA" w:tentative="1">
      <w:start w:val="1"/>
      <w:numFmt w:val="bullet"/>
      <w:lvlText w:val="•"/>
      <w:lvlJc w:val="left"/>
      <w:pPr>
        <w:tabs>
          <w:tab w:val="num" w:pos="5040"/>
        </w:tabs>
        <w:ind w:left="5040" w:hanging="360"/>
      </w:pPr>
      <w:rPr>
        <w:rFonts w:ascii="Arial" w:hAnsi="Arial" w:hint="default"/>
      </w:rPr>
    </w:lvl>
    <w:lvl w:ilvl="7" w:tplc="8C4A5EEA" w:tentative="1">
      <w:start w:val="1"/>
      <w:numFmt w:val="bullet"/>
      <w:lvlText w:val="•"/>
      <w:lvlJc w:val="left"/>
      <w:pPr>
        <w:tabs>
          <w:tab w:val="num" w:pos="5760"/>
        </w:tabs>
        <w:ind w:left="5760" w:hanging="360"/>
      </w:pPr>
      <w:rPr>
        <w:rFonts w:ascii="Arial" w:hAnsi="Arial" w:hint="default"/>
      </w:rPr>
    </w:lvl>
    <w:lvl w:ilvl="8" w:tplc="A03E16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34333D"/>
    <w:multiLevelType w:val="hybridMultilevel"/>
    <w:tmpl w:val="D9763EA2"/>
    <w:lvl w:ilvl="0" w:tplc="26864D72">
      <w:start w:val="1"/>
      <w:numFmt w:val="decimal"/>
      <w:lvlText w:val="%1."/>
      <w:lvlJc w:val="left"/>
      <w:pPr>
        <w:tabs>
          <w:tab w:val="num" w:pos="720"/>
        </w:tabs>
        <w:ind w:left="720" w:hanging="360"/>
      </w:pPr>
    </w:lvl>
    <w:lvl w:ilvl="1" w:tplc="68AE5D40" w:tentative="1">
      <w:start w:val="1"/>
      <w:numFmt w:val="decimal"/>
      <w:lvlText w:val="%2."/>
      <w:lvlJc w:val="left"/>
      <w:pPr>
        <w:tabs>
          <w:tab w:val="num" w:pos="1440"/>
        </w:tabs>
        <w:ind w:left="1440" w:hanging="360"/>
      </w:pPr>
    </w:lvl>
    <w:lvl w:ilvl="2" w:tplc="BE6A6494" w:tentative="1">
      <w:start w:val="1"/>
      <w:numFmt w:val="decimal"/>
      <w:lvlText w:val="%3."/>
      <w:lvlJc w:val="left"/>
      <w:pPr>
        <w:tabs>
          <w:tab w:val="num" w:pos="2160"/>
        </w:tabs>
        <w:ind w:left="2160" w:hanging="360"/>
      </w:pPr>
    </w:lvl>
    <w:lvl w:ilvl="3" w:tplc="0EEE0AEA" w:tentative="1">
      <w:start w:val="1"/>
      <w:numFmt w:val="decimal"/>
      <w:lvlText w:val="%4."/>
      <w:lvlJc w:val="left"/>
      <w:pPr>
        <w:tabs>
          <w:tab w:val="num" w:pos="2880"/>
        </w:tabs>
        <w:ind w:left="2880" w:hanging="360"/>
      </w:pPr>
    </w:lvl>
    <w:lvl w:ilvl="4" w:tplc="08D04E06" w:tentative="1">
      <w:start w:val="1"/>
      <w:numFmt w:val="decimal"/>
      <w:lvlText w:val="%5."/>
      <w:lvlJc w:val="left"/>
      <w:pPr>
        <w:tabs>
          <w:tab w:val="num" w:pos="3600"/>
        </w:tabs>
        <w:ind w:left="3600" w:hanging="360"/>
      </w:pPr>
    </w:lvl>
    <w:lvl w:ilvl="5" w:tplc="B94C1E1A" w:tentative="1">
      <w:start w:val="1"/>
      <w:numFmt w:val="decimal"/>
      <w:lvlText w:val="%6."/>
      <w:lvlJc w:val="left"/>
      <w:pPr>
        <w:tabs>
          <w:tab w:val="num" w:pos="4320"/>
        </w:tabs>
        <w:ind w:left="4320" w:hanging="360"/>
      </w:pPr>
    </w:lvl>
    <w:lvl w:ilvl="6" w:tplc="3D58BB6E" w:tentative="1">
      <w:start w:val="1"/>
      <w:numFmt w:val="decimal"/>
      <w:lvlText w:val="%7."/>
      <w:lvlJc w:val="left"/>
      <w:pPr>
        <w:tabs>
          <w:tab w:val="num" w:pos="5040"/>
        </w:tabs>
        <w:ind w:left="5040" w:hanging="360"/>
      </w:pPr>
    </w:lvl>
    <w:lvl w:ilvl="7" w:tplc="E2046266" w:tentative="1">
      <w:start w:val="1"/>
      <w:numFmt w:val="decimal"/>
      <w:lvlText w:val="%8."/>
      <w:lvlJc w:val="left"/>
      <w:pPr>
        <w:tabs>
          <w:tab w:val="num" w:pos="5760"/>
        </w:tabs>
        <w:ind w:left="5760" w:hanging="360"/>
      </w:pPr>
    </w:lvl>
    <w:lvl w:ilvl="8" w:tplc="505679F8" w:tentative="1">
      <w:start w:val="1"/>
      <w:numFmt w:val="decimal"/>
      <w:lvlText w:val="%9."/>
      <w:lvlJc w:val="left"/>
      <w:pPr>
        <w:tabs>
          <w:tab w:val="num" w:pos="6480"/>
        </w:tabs>
        <w:ind w:left="6480" w:hanging="360"/>
      </w:pPr>
    </w:lvl>
  </w:abstractNum>
  <w:abstractNum w:abstractNumId="6" w15:restartNumberingAfterBreak="0">
    <w:nsid w:val="66F22C2B"/>
    <w:multiLevelType w:val="hybridMultilevel"/>
    <w:tmpl w:val="3210DAD2"/>
    <w:lvl w:ilvl="0" w:tplc="440E1E9A">
      <w:start w:val="1"/>
      <w:numFmt w:val="bullet"/>
      <w:lvlText w:val="•"/>
      <w:lvlJc w:val="left"/>
      <w:pPr>
        <w:tabs>
          <w:tab w:val="num" w:pos="720"/>
        </w:tabs>
        <w:ind w:left="720" w:hanging="360"/>
      </w:pPr>
      <w:rPr>
        <w:rFonts w:ascii="Arial" w:hAnsi="Arial" w:hint="default"/>
      </w:rPr>
    </w:lvl>
    <w:lvl w:ilvl="1" w:tplc="712AE512" w:tentative="1">
      <w:start w:val="1"/>
      <w:numFmt w:val="bullet"/>
      <w:lvlText w:val="•"/>
      <w:lvlJc w:val="left"/>
      <w:pPr>
        <w:tabs>
          <w:tab w:val="num" w:pos="1440"/>
        </w:tabs>
        <w:ind w:left="1440" w:hanging="360"/>
      </w:pPr>
      <w:rPr>
        <w:rFonts w:ascii="Arial" w:hAnsi="Arial" w:hint="default"/>
      </w:rPr>
    </w:lvl>
    <w:lvl w:ilvl="2" w:tplc="95A0B140" w:tentative="1">
      <w:start w:val="1"/>
      <w:numFmt w:val="bullet"/>
      <w:lvlText w:val="•"/>
      <w:lvlJc w:val="left"/>
      <w:pPr>
        <w:tabs>
          <w:tab w:val="num" w:pos="2160"/>
        </w:tabs>
        <w:ind w:left="2160" w:hanging="360"/>
      </w:pPr>
      <w:rPr>
        <w:rFonts w:ascii="Arial" w:hAnsi="Arial" w:hint="default"/>
      </w:rPr>
    </w:lvl>
    <w:lvl w:ilvl="3" w:tplc="5658F4FC" w:tentative="1">
      <w:start w:val="1"/>
      <w:numFmt w:val="bullet"/>
      <w:lvlText w:val="•"/>
      <w:lvlJc w:val="left"/>
      <w:pPr>
        <w:tabs>
          <w:tab w:val="num" w:pos="2880"/>
        </w:tabs>
        <w:ind w:left="2880" w:hanging="360"/>
      </w:pPr>
      <w:rPr>
        <w:rFonts w:ascii="Arial" w:hAnsi="Arial" w:hint="default"/>
      </w:rPr>
    </w:lvl>
    <w:lvl w:ilvl="4" w:tplc="10B09740" w:tentative="1">
      <w:start w:val="1"/>
      <w:numFmt w:val="bullet"/>
      <w:lvlText w:val="•"/>
      <w:lvlJc w:val="left"/>
      <w:pPr>
        <w:tabs>
          <w:tab w:val="num" w:pos="3600"/>
        </w:tabs>
        <w:ind w:left="3600" w:hanging="360"/>
      </w:pPr>
      <w:rPr>
        <w:rFonts w:ascii="Arial" w:hAnsi="Arial" w:hint="default"/>
      </w:rPr>
    </w:lvl>
    <w:lvl w:ilvl="5" w:tplc="D65C0CCC" w:tentative="1">
      <w:start w:val="1"/>
      <w:numFmt w:val="bullet"/>
      <w:lvlText w:val="•"/>
      <w:lvlJc w:val="left"/>
      <w:pPr>
        <w:tabs>
          <w:tab w:val="num" w:pos="4320"/>
        </w:tabs>
        <w:ind w:left="4320" w:hanging="360"/>
      </w:pPr>
      <w:rPr>
        <w:rFonts w:ascii="Arial" w:hAnsi="Arial" w:hint="default"/>
      </w:rPr>
    </w:lvl>
    <w:lvl w:ilvl="6" w:tplc="4FCA8B2E" w:tentative="1">
      <w:start w:val="1"/>
      <w:numFmt w:val="bullet"/>
      <w:lvlText w:val="•"/>
      <w:lvlJc w:val="left"/>
      <w:pPr>
        <w:tabs>
          <w:tab w:val="num" w:pos="5040"/>
        </w:tabs>
        <w:ind w:left="5040" w:hanging="360"/>
      </w:pPr>
      <w:rPr>
        <w:rFonts w:ascii="Arial" w:hAnsi="Arial" w:hint="default"/>
      </w:rPr>
    </w:lvl>
    <w:lvl w:ilvl="7" w:tplc="CDA6D378" w:tentative="1">
      <w:start w:val="1"/>
      <w:numFmt w:val="bullet"/>
      <w:lvlText w:val="•"/>
      <w:lvlJc w:val="left"/>
      <w:pPr>
        <w:tabs>
          <w:tab w:val="num" w:pos="5760"/>
        </w:tabs>
        <w:ind w:left="5760" w:hanging="360"/>
      </w:pPr>
      <w:rPr>
        <w:rFonts w:ascii="Arial" w:hAnsi="Arial" w:hint="default"/>
      </w:rPr>
    </w:lvl>
    <w:lvl w:ilvl="8" w:tplc="53A691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44422A"/>
    <w:multiLevelType w:val="hybridMultilevel"/>
    <w:tmpl w:val="F5D0CCFC"/>
    <w:lvl w:ilvl="0" w:tplc="8280FC26">
      <w:start w:val="1"/>
      <w:numFmt w:val="bullet"/>
      <w:lvlText w:val="•"/>
      <w:lvlJc w:val="left"/>
      <w:pPr>
        <w:tabs>
          <w:tab w:val="num" w:pos="720"/>
        </w:tabs>
        <w:ind w:left="720" w:hanging="360"/>
      </w:pPr>
      <w:rPr>
        <w:rFonts w:ascii="Arial" w:hAnsi="Arial" w:hint="default"/>
      </w:rPr>
    </w:lvl>
    <w:lvl w:ilvl="1" w:tplc="D12AC098" w:tentative="1">
      <w:start w:val="1"/>
      <w:numFmt w:val="bullet"/>
      <w:lvlText w:val="•"/>
      <w:lvlJc w:val="left"/>
      <w:pPr>
        <w:tabs>
          <w:tab w:val="num" w:pos="1440"/>
        </w:tabs>
        <w:ind w:left="1440" w:hanging="360"/>
      </w:pPr>
      <w:rPr>
        <w:rFonts w:ascii="Arial" w:hAnsi="Arial" w:hint="default"/>
      </w:rPr>
    </w:lvl>
    <w:lvl w:ilvl="2" w:tplc="21983630" w:tentative="1">
      <w:start w:val="1"/>
      <w:numFmt w:val="bullet"/>
      <w:lvlText w:val="•"/>
      <w:lvlJc w:val="left"/>
      <w:pPr>
        <w:tabs>
          <w:tab w:val="num" w:pos="2160"/>
        </w:tabs>
        <w:ind w:left="2160" w:hanging="360"/>
      </w:pPr>
      <w:rPr>
        <w:rFonts w:ascii="Arial" w:hAnsi="Arial" w:hint="default"/>
      </w:rPr>
    </w:lvl>
    <w:lvl w:ilvl="3" w:tplc="5194FEE8" w:tentative="1">
      <w:start w:val="1"/>
      <w:numFmt w:val="bullet"/>
      <w:lvlText w:val="•"/>
      <w:lvlJc w:val="left"/>
      <w:pPr>
        <w:tabs>
          <w:tab w:val="num" w:pos="2880"/>
        </w:tabs>
        <w:ind w:left="2880" w:hanging="360"/>
      </w:pPr>
      <w:rPr>
        <w:rFonts w:ascii="Arial" w:hAnsi="Arial" w:hint="default"/>
      </w:rPr>
    </w:lvl>
    <w:lvl w:ilvl="4" w:tplc="93FA6F5C" w:tentative="1">
      <w:start w:val="1"/>
      <w:numFmt w:val="bullet"/>
      <w:lvlText w:val="•"/>
      <w:lvlJc w:val="left"/>
      <w:pPr>
        <w:tabs>
          <w:tab w:val="num" w:pos="3600"/>
        </w:tabs>
        <w:ind w:left="3600" w:hanging="360"/>
      </w:pPr>
      <w:rPr>
        <w:rFonts w:ascii="Arial" w:hAnsi="Arial" w:hint="default"/>
      </w:rPr>
    </w:lvl>
    <w:lvl w:ilvl="5" w:tplc="8E70CBB4" w:tentative="1">
      <w:start w:val="1"/>
      <w:numFmt w:val="bullet"/>
      <w:lvlText w:val="•"/>
      <w:lvlJc w:val="left"/>
      <w:pPr>
        <w:tabs>
          <w:tab w:val="num" w:pos="4320"/>
        </w:tabs>
        <w:ind w:left="4320" w:hanging="360"/>
      </w:pPr>
      <w:rPr>
        <w:rFonts w:ascii="Arial" w:hAnsi="Arial" w:hint="default"/>
      </w:rPr>
    </w:lvl>
    <w:lvl w:ilvl="6" w:tplc="2F46E404" w:tentative="1">
      <w:start w:val="1"/>
      <w:numFmt w:val="bullet"/>
      <w:lvlText w:val="•"/>
      <w:lvlJc w:val="left"/>
      <w:pPr>
        <w:tabs>
          <w:tab w:val="num" w:pos="5040"/>
        </w:tabs>
        <w:ind w:left="5040" w:hanging="360"/>
      </w:pPr>
      <w:rPr>
        <w:rFonts w:ascii="Arial" w:hAnsi="Arial" w:hint="default"/>
      </w:rPr>
    </w:lvl>
    <w:lvl w:ilvl="7" w:tplc="331E6098" w:tentative="1">
      <w:start w:val="1"/>
      <w:numFmt w:val="bullet"/>
      <w:lvlText w:val="•"/>
      <w:lvlJc w:val="left"/>
      <w:pPr>
        <w:tabs>
          <w:tab w:val="num" w:pos="5760"/>
        </w:tabs>
        <w:ind w:left="5760" w:hanging="360"/>
      </w:pPr>
      <w:rPr>
        <w:rFonts w:ascii="Arial" w:hAnsi="Arial" w:hint="default"/>
      </w:rPr>
    </w:lvl>
    <w:lvl w:ilvl="8" w:tplc="059EE5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D121C7"/>
    <w:multiLevelType w:val="hybridMultilevel"/>
    <w:tmpl w:val="EDFEEED2"/>
    <w:lvl w:ilvl="0" w:tplc="A1FA831E">
      <w:start w:val="1"/>
      <w:numFmt w:val="bullet"/>
      <w:lvlText w:val="•"/>
      <w:lvlJc w:val="left"/>
      <w:pPr>
        <w:tabs>
          <w:tab w:val="num" w:pos="720"/>
        </w:tabs>
        <w:ind w:left="720" w:hanging="360"/>
      </w:pPr>
      <w:rPr>
        <w:rFonts w:ascii="Arial" w:hAnsi="Arial" w:hint="default"/>
      </w:rPr>
    </w:lvl>
    <w:lvl w:ilvl="1" w:tplc="84260EA2" w:tentative="1">
      <w:start w:val="1"/>
      <w:numFmt w:val="bullet"/>
      <w:lvlText w:val="•"/>
      <w:lvlJc w:val="left"/>
      <w:pPr>
        <w:tabs>
          <w:tab w:val="num" w:pos="1440"/>
        </w:tabs>
        <w:ind w:left="1440" w:hanging="360"/>
      </w:pPr>
      <w:rPr>
        <w:rFonts w:ascii="Arial" w:hAnsi="Arial" w:hint="default"/>
      </w:rPr>
    </w:lvl>
    <w:lvl w:ilvl="2" w:tplc="AF362120" w:tentative="1">
      <w:start w:val="1"/>
      <w:numFmt w:val="bullet"/>
      <w:lvlText w:val="•"/>
      <w:lvlJc w:val="left"/>
      <w:pPr>
        <w:tabs>
          <w:tab w:val="num" w:pos="2160"/>
        </w:tabs>
        <w:ind w:left="2160" w:hanging="360"/>
      </w:pPr>
      <w:rPr>
        <w:rFonts w:ascii="Arial" w:hAnsi="Arial" w:hint="default"/>
      </w:rPr>
    </w:lvl>
    <w:lvl w:ilvl="3" w:tplc="2DD2501E" w:tentative="1">
      <w:start w:val="1"/>
      <w:numFmt w:val="bullet"/>
      <w:lvlText w:val="•"/>
      <w:lvlJc w:val="left"/>
      <w:pPr>
        <w:tabs>
          <w:tab w:val="num" w:pos="2880"/>
        </w:tabs>
        <w:ind w:left="2880" w:hanging="360"/>
      </w:pPr>
      <w:rPr>
        <w:rFonts w:ascii="Arial" w:hAnsi="Arial" w:hint="default"/>
      </w:rPr>
    </w:lvl>
    <w:lvl w:ilvl="4" w:tplc="02885FF2" w:tentative="1">
      <w:start w:val="1"/>
      <w:numFmt w:val="bullet"/>
      <w:lvlText w:val="•"/>
      <w:lvlJc w:val="left"/>
      <w:pPr>
        <w:tabs>
          <w:tab w:val="num" w:pos="3600"/>
        </w:tabs>
        <w:ind w:left="3600" w:hanging="360"/>
      </w:pPr>
      <w:rPr>
        <w:rFonts w:ascii="Arial" w:hAnsi="Arial" w:hint="default"/>
      </w:rPr>
    </w:lvl>
    <w:lvl w:ilvl="5" w:tplc="5AE8EE74" w:tentative="1">
      <w:start w:val="1"/>
      <w:numFmt w:val="bullet"/>
      <w:lvlText w:val="•"/>
      <w:lvlJc w:val="left"/>
      <w:pPr>
        <w:tabs>
          <w:tab w:val="num" w:pos="4320"/>
        </w:tabs>
        <w:ind w:left="4320" w:hanging="360"/>
      </w:pPr>
      <w:rPr>
        <w:rFonts w:ascii="Arial" w:hAnsi="Arial" w:hint="default"/>
      </w:rPr>
    </w:lvl>
    <w:lvl w:ilvl="6" w:tplc="97285112" w:tentative="1">
      <w:start w:val="1"/>
      <w:numFmt w:val="bullet"/>
      <w:lvlText w:val="•"/>
      <w:lvlJc w:val="left"/>
      <w:pPr>
        <w:tabs>
          <w:tab w:val="num" w:pos="5040"/>
        </w:tabs>
        <w:ind w:left="5040" w:hanging="360"/>
      </w:pPr>
      <w:rPr>
        <w:rFonts w:ascii="Arial" w:hAnsi="Arial" w:hint="default"/>
      </w:rPr>
    </w:lvl>
    <w:lvl w:ilvl="7" w:tplc="7CCE4AC0" w:tentative="1">
      <w:start w:val="1"/>
      <w:numFmt w:val="bullet"/>
      <w:lvlText w:val="•"/>
      <w:lvlJc w:val="left"/>
      <w:pPr>
        <w:tabs>
          <w:tab w:val="num" w:pos="5760"/>
        </w:tabs>
        <w:ind w:left="5760" w:hanging="360"/>
      </w:pPr>
      <w:rPr>
        <w:rFonts w:ascii="Arial" w:hAnsi="Arial" w:hint="default"/>
      </w:rPr>
    </w:lvl>
    <w:lvl w:ilvl="8" w:tplc="0E646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354614"/>
    <w:multiLevelType w:val="hybridMultilevel"/>
    <w:tmpl w:val="3B50E0A6"/>
    <w:lvl w:ilvl="0" w:tplc="A1FA83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7"/>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5"/>
    <w:rsid w:val="00006E8C"/>
    <w:rsid w:val="00017D99"/>
    <w:rsid w:val="000368E8"/>
    <w:rsid w:val="00050FC8"/>
    <w:rsid w:val="00052B32"/>
    <w:rsid w:val="000627D0"/>
    <w:rsid w:val="00075CF1"/>
    <w:rsid w:val="000A4A63"/>
    <w:rsid w:val="000E42DF"/>
    <w:rsid w:val="00113E3F"/>
    <w:rsid w:val="0011712A"/>
    <w:rsid w:val="001762C8"/>
    <w:rsid w:val="00183610"/>
    <w:rsid w:val="001B3BED"/>
    <w:rsid w:val="001F76C3"/>
    <w:rsid w:val="00281CEF"/>
    <w:rsid w:val="002E30F3"/>
    <w:rsid w:val="0030371F"/>
    <w:rsid w:val="003137A4"/>
    <w:rsid w:val="003B4534"/>
    <w:rsid w:val="004400DF"/>
    <w:rsid w:val="00444F7A"/>
    <w:rsid w:val="004A5606"/>
    <w:rsid w:val="004C2537"/>
    <w:rsid w:val="0059181D"/>
    <w:rsid w:val="00593F88"/>
    <w:rsid w:val="005A6F5D"/>
    <w:rsid w:val="005D7C21"/>
    <w:rsid w:val="00602A73"/>
    <w:rsid w:val="006359CB"/>
    <w:rsid w:val="00690472"/>
    <w:rsid w:val="006A480F"/>
    <w:rsid w:val="006D0FFA"/>
    <w:rsid w:val="006F1546"/>
    <w:rsid w:val="00721328"/>
    <w:rsid w:val="00722417"/>
    <w:rsid w:val="0073187D"/>
    <w:rsid w:val="007467D0"/>
    <w:rsid w:val="00755D02"/>
    <w:rsid w:val="0078082D"/>
    <w:rsid w:val="007B16D6"/>
    <w:rsid w:val="007E68CB"/>
    <w:rsid w:val="0085797D"/>
    <w:rsid w:val="00896232"/>
    <w:rsid w:val="008B7704"/>
    <w:rsid w:val="008D7C78"/>
    <w:rsid w:val="008E18D2"/>
    <w:rsid w:val="008E4372"/>
    <w:rsid w:val="009051C5"/>
    <w:rsid w:val="00912F34"/>
    <w:rsid w:val="009216BD"/>
    <w:rsid w:val="00932B0D"/>
    <w:rsid w:val="00954334"/>
    <w:rsid w:val="009716E4"/>
    <w:rsid w:val="009F619D"/>
    <w:rsid w:val="00A01696"/>
    <w:rsid w:val="00A0368B"/>
    <w:rsid w:val="00A30F31"/>
    <w:rsid w:val="00AC724C"/>
    <w:rsid w:val="00B058AF"/>
    <w:rsid w:val="00B45BBF"/>
    <w:rsid w:val="00B47A02"/>
    <w:rsid w:val="00B81584"/>
    <w:rsid w:val="00B83C14"/>
    <w:rsid w:val="00BB7C3E"/>
    <w:rsid w:val="00C01683"/>
    <w:rsid w:val="00C06E27"/>
    <w:rsid w:val="00C63322"/>
    <w:rsid w:val="00C97BDD"/>
    <w:rsid w:val="00CA2BAC"/>
    <w:rsid w:val="00CB3C34"/>
    <w:rsid w:val="00CE67B3"/>
    <w:rsid w:val="00CF790D"/>
    <w:rsid w:val="00D1263C"/>
    <w:rsid w:val="00DB6D2F"/>
    <w:rsid w:val="00DE35DD"/>
    <w:rsid w:val="00E04F16"/>
    <w:rsid w:val="00E14F1B"/>
    <w:rsid w:val="00E33427"/>
    <w:rsid w:val="00E63DEB"/>
    <w:rsid w:val="00E85339"/>
    <w:rsid w:val="00E96168"/>
    <w:rsid w:val="00ED6BF5"/>
    <w:rsid w:val="00EE5F22"/>
    <w:rsid w:val="00EE6052"/>
    <w:rsid w:val="00F21632"/>
    <w:rsid w:val="00F2217A"/>
    <w:rsid w:val="00F9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D07F7"/>
  <w15:chartTrackingRefBased/>
  <w15:docId w15:val="{4FA0A7F9-0719-4DBC-8C9A-39871C8F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7A4"/>
    <w:pPr>
      <w:keepNext/>
      <w:keepLines/>
      <w:spacing w:before="240" w:after="0"/>
      <w:outlineLvl w:val="0"/>
    </w:pPr>
    <w:rPr>
      <w:rFonts w:asciiTheme="majorHAnsi" w:eastAsiaTheme="majorEastAsia" w:hAnsiTheme="majorHAnsi" w:cstheme="majorBidi"/>
      <w:color w:val="640000"/>
      <w:sz w:val="32"/>
      <w:szCs w:val="32"/>
      <w:lang w:val="fr-CA"/>
    </w:rPr>
  </w:style>
  <w:style w:type="paragraph" w:styleId="Heading2">
    <w:name w:val="heading 2"/>
    <w:basedOn w:val="Normal"/>
    <w:next w:val="Normal"/>
    <w:link w:val="Heading2Char"/>
    <w:uiPriority w:val="9"/>
    <w:unhideWhenUsed/>
    <w:qFormat/>
    <w:rsid w:val="003137A4"/>
    <w:pPr>
      <w:keepNext/>
      <w:keepLines/>
      <w:spacing w:before="40" w:after="0"/>
      <w:outlineLvl w:val="1"/>
    </w:pPr>
    <w:rPr>
      <w:rFonts w:asciiTheme="majorHAnsi" w:eastAsiaTheme="majorEastAsia" w:hAnsiTheme="majorHAnsi" w:cstheme="majorBidi"/>
      <w:color w:val="640000"/>
      <w:sz w:val="26"/>
      <w:szCs w:val="26"/>
    </w:rPr>
  </w:style>
  <w:style w:type="paragraph" w:styleId="Heading3">
    <w:name w:val="heading 3"/>
    <w:basedOn w:val="Normal"/>
    <w:next w:val="Normal"/>
    <w:link w:val="Heading3Char"/>
    <w:uiPriority w:val="9"/>
    <w:unhideWhenUsed/>
    <w:qFormat/>
    <w:rsid w:val="00313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F1"/>
    <w:rPr>
      <w:color w:val="0563C1" w:themeColor="hyperlink"/>
      <w:u w:val="single"/>
    </w:rPr>
  </w:style>
  <w:style w:type="paragraph" w:styleId="ListParagraph">
    <w:name w:val="List Paragraph"/>
    <w:basedOn w:val="Normal"/>
    <w:uiPriority w:val="34"/>
    <w:qFormat/>
    <w:rsid w:val="00075CF1"/>
    <w:pPr>
      <w:ind w:left="720"/>
      <w:contextualSpacing/>
    </w:pPr>
  </w:style>
  <w:style w:type="character" w:styleId="FollowedHyperlink">
    <w:name w:val="FollowedHyperlink"/>
    <w:basedOn w:val="DefaultParagraphFont"/>
    <w:uiPriority w:val="99"/>
    <w:semiHidden/>
    <w:unhideWhenUsed/>
    <w:rsid w:val="00E63DEB"/>
    <w:rPr>
      <w:color w:val="954F72" w:themeColor="followedHyperlink"/>
      <w:u w:val="single"/>
    </w:rPr>
  </w:style>
  <w:style w:type="character" w:styleId="Strong">
    <w:name w:val="Strong"/>
    <w:basedOn w:val="DefaultParagraphFont"/>
    <w:uiPriority w:val="22"/>
    <w:qFormat/>
    <w:rsid w:val="004400DF"/>
    <w:rPr>
      <w:b/>
      <w:bCs/>
    </w:rPr>
  </w:style>
  <w:style w:type="paragraph" w:styleId="NormalWeb">
    <w:name w:val="Normal (Web)"/>
    <w:basedOn w:val="Normal"/>
    <w:uiPriority w:val="99"/>
    <w:unhideWhenUsed/>
    <w:rsid w:val="000E42D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
    <w:name w:val="Unresolved Mention"/>
    <w:basedOn w:val="DefaultParagraphFont"/>
    <w:uiPriority w:val="99"/>
    <w:semiHidden/>
    <w:unhideWhenUsed/>
    <w:rsid w:val="007B16D6"/>
    <w:rPr>
      <w:color w:val="605E5C"/>
      <w:shd w:val="clear" w:color="auto" w:fill="E1DFDD"/>
    </w:rPr>
  </w:style>
  <w:style w:type="character" w:customStyle="1" w:styleId="coveo-highlight">
    <w:name w:val="coveo-highlight"/>
    <w:basedOn w:val="DefaultParagraphFont"/>
    <w:rsid w:val="00B81584"/>
  </w:style>
  <w:style w:type="paragraph" w:styleId="Header">
    <w:name w:val="header"/>
    <w:basedOn w:val="Normal"/>
    <w:link w:val="HeaderChar"/>
    <w:uiPriority w:val="99"/>
    <w:unhideWhenUsed/>
    <w:rsid w:val="00A0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68B"/>
  </w:style>
  <w:style w:type="paragraph" w:styleId="Footer">
    <w:name w:val="footer"/>
    <w:basedOn w:val="Normal"/>
    <w:link w:val="FooterChar"/>
    <w:uiPriority w:val="99"/>
    <w:unhideWhenUsed/>
    <w:rsid w:val="00A0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8B"/>
  </w:style>
  <w:style w:type="paragraph" w:styleId="Title">
    <w:name w:val="Title"/>
    <w:basedOn w:val="Normal"/>
    <w:next w:val="Normal"/>
    <w:link w:val="TitleChar"/>
    <w:uiPriority w:val="10"/>
    <w:qFormat/>
    <w:rsid w:val="003B4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5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37A4"/>
    <w:rPr>
      <w:rFonts w:asciiTheme="majorHAnsi" w:eastAsiaTheme="majorEastAsia" w:hAnsiTheme="majorHAnsi" w:cstheme="majorBidi"/>
      <w:color w:val="640000"/>
      <w:sz w:val="32"/>
      <w:szCs w:val="32"/>
      <w:lang w:val="fr-CA"/>
    </w:rPr>
  </w:style>
  <w:style w:type="character" w:customStyle="1" w:styleId="Heading2Char">
    <w:name w:val="Heading 2 Char"/>
    <w:basedOn w:val="DefaultParagraphFont"/>
    <w:link w:val="Heading2"/>
    <w:uiPriority w:val="9"/>
    <w:rsid w:val="003137A4"/>
    <w:rPr>
      <w:rFonts w:asciiTheme="majorHAnsi" w:eastAsiaTheme="majorEastAsia" w:hAnsiTheme="majorHAnsi" w:cstheme="majorBidi"/>
      <w:color w:val="640000"/>
      <w:sz w:val="26"/>
      <w:szCs w:val="26"/>
    </w:rPr>
  </w:style>
  <w:style w:type="character" w:customStyle="1" w:styleId="Heading3Char">
    <w:name w:val="Heading 3 Char"/>
    <w:basedOn w:val="DefaultParagraphFont"/>
    <w:link w:val="Heading3"/>
    <w:uiPriority w:val="9"/>
    <w:rsid w:val="003137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0519">
      <w:bodyDiv w:val="1"/>
      <w:marLeft w:val="0"/>
      <w:marRight w:val="0"/>
      <w:marTop w:val="0"/>
      <w:marBottom w:val="0"/>
      <w:divBdr>
        <w:top w:val="none" w:sz="0" w:space="0" w:color="auto"/>
        <w:left w:val="none" w:sz="0" w:space="0" w:color="auto"/>
        <w:bottom w:val="none" w:sz="0" w:space="0" w:color="auto"/>
        <w:right w:val="none" w:sz="0" w:space="0" w:color="auto"/>
      </w:divBdr>
      <w:divsChild>
        <w:div w:id="22444174">
          <w:marLeft w:val="274"/>
          <w:marRight w:val="0"/>
          <w:marTop w:val="0"/>
          <w:marBottom w:val="0"/>
          <w:divBdr>
            <w:top w:val="none" w:sz="0" w:space="0" w:color="auto"/>
            <w:left w:val="none" w:sz="0" w:space="0" w:color="auto"/>
            <w:bottom w:val="none" w:sz="0" w:space="0" w:color="auto"/>
            <w:right w:val="none" w:sz="0" w:space="0" w:color="auto"/>
          </w:divBdr>
        </w:div>
      </w:divsChild>
    </w:div>
    <w:div w:id="85082705">
      <w:bodyDiv w:val="1"/>
      <w:marLeft w:val="0"/>
      <w:marRight w:val="0"/>
      <w:marTop w:val="0"/>
      <w:marBottom w:val="0"/>
      <w:divBdr>
        <w:top w:val="none" w:sz="0" w:space="0" w:color="auto"/>
        <w:left w:val="none" w:sz="0" w:space="0" w:color="auto"/>
        <w:bottom w:val="none" w:sz="0" w:space="0" w:color="auto"/>
        <w:right w:val="none" w:sz="0" w:space="0" w:color="auto"/>
      </w:divBdr>
      <w:divsChild>
        <w:div w:id="1039863884">
          <w:marLeft w:val="274"/>
          <w:marRight w:val="0"/>
          <w:marTop w:val="0"/>
          <w:marBottom w:val="0"/>
          <w:divBdr>
            <w:top w:val="none" w:sz="0" w:space="0" w:color="auto"/>
            <w:left w:val="none" w:sz="0" w:space="0" w:color="auto"/>
            <w:bottom w:val="none" w:sz="0" w:space="0" w:color="auto"/>
            <w:right w:val="none" w:sz="0" w:space="0" w:color="auto"/>
          </w:divBdr>
        </w:div>
        <w:div w:id="1232541600">
          <w:marLeft w:val="274"/>
          <w:marRight w:val="0"/>
          <w:marTop w:val="0"/>
          <w:marBottom w:val="0"/>
          <w:divBdr>
            <w:top w:val="none" w:sz="0" w:space="0" w:color="auto"/>
            <w:left w:val="none" w:sz="0" w:space="0" w:color="auto"/>
            <w:bottom w:val="none" w:sz="0" w:space="0" w:color="auto"/>
            <w:right w:val="none" w:sz="0" w:space="0" w:color="auto"/>
          </w:divBdr>
        </w:div>
        <w:div w:id="94133211">
          <w:marLeft w:val="274"/>
          <w:marRight w:val="0"/>
          <w:marTop w:val="0"/>
          <w:marBottom w:val="0"/>
          <w:divBdr>
            <w:top w:val="none" w:sz="0" w:space="0" w:color="auto"/>
            <w:left w:val="none" w:sz="0" w:space="0" w:color="auto"/>
            <w:bottom w:val="none" w:sz="0" w:space="0" w:color="auto"/>
            <w:right w:val="none" w:sz="0" w:space="0" w:color="auto"/>
          </w:divBdr>
        </w:div>
      </w:divsChild>
    </w:div>
    <w:div w:id="86923741">
      <w:bodyDiv w:val="1"/>
      <w:marLeft w:val="0"/>
      <w:marRight w:val="0"/>
      <w:marTop w:val="0"/>
      <w:marBottom w:val="0"/>
      <w:divBdr>
        <w:top w:val="none" w:sz="0" w:space="0" w:color="auto"/>
        <w:left w:val="none" w:sz="0" w:space="0" w:color="auto"/>
        <w:bottom w:val="none" w:sz="0" w:space="0" w:color="auto"/>
        <w:right w:val="none" w:sz="0" w:space="0" w:color="auto"/>
      </w:divBdr>
    </w:div>
    <w:div w:id="110903942">
      <w:bodyDiv w:val="1"/>
      <w:marLeft w:val="0"/>
      <w:marRight w:val="0"/>
      <w:marTop w:val="0"/>
      <w:marBottom w:val="0"/>
      <w:divBdr>
        <w:top w:val="none" w:sz="0" w:space="0" w:color="auto"/>
        <w:left w:val="none" w:sz="0" w:space="0" w:color="auto"/>
        <w:bottom w:val="none" w:sz="0" w:space="0" w:color="auto"/>
        <w:right w:val="none" w:sz="0" w:space="0" w:color="auto"/>
      </w:divBdr>
    </w:div>
    <w:div w:id="177547752">
      <w:bodyDiv w:val="1"/>
      <w:marLeft w:val="0"/>
      <w:marRight w:val="0"/>
      <w:marTop w:val="0"/>
      <w:marBottom w:val="0"/>
      <w:divBdr>
        <w:top w:val="none" w:sz="0" w:space="0" w:color="auto"/>
        <w:left w:val="none" w:sz="0" w:space="0" w:color="auto"/>
        <w:bottom w:val="none" w:sz="0" w:space="0" w:color="auto"/>
        <w:right w:val="none" w:sz="0" w:space="0" w:color="auto"/>
      </w:divBdr>
    </w:div>
    <w:div w:id="181405989">
      <w:bodyDiv w:val="1"/>
      <w:marLeft w:val="0"/>
      <w:marRight w:val="0"/>
      <w:marTop w:val="0"/>
      <w:marBottom w:val="0"/>
      <w:divBdr>
        <w:top w:val="none" w:sz="0" w:space="0" w:color="auto"/>
        <w:left w:val="none" w:sz="0" w:space="0" w:color="auto"/>
        <w:bottom w:val="none" w:sz="0" w:space="0" w:color="auto"/>
        <w:right w:val="none" w:sz="0" w:space="0" w:color="auto"/>
      </w:divBdr>
    </w:div>
    <w:div w:id="409277398">
      <w:bodyDiv w:val="1"/>
      <w:marLeft w:val="0"/>
      <w:marRight w:val="0"/>
      <w:marTop w:val="0"/>
      <w:marBottom w:val="0"/>
      <w:divBdr>
        <w:top w:val="none" w:sz="0" w:space="0" w:color="auto"/>
        <w:left w:val="none" w:sz="0" w:space="0" w:color="auto"/>
        <w:bottom w:val="none" w:sz="0" w:space="0" w:color="auto"/>
        <w:right w:val="none" w:sz="0" w:space="0" w:color="auto"/>
      </w:divBdr>
    </w:div>
    <w:div w:id="413742831">
      <w:bodyDiv w:val="1"/>
      <w:marLeft w:val="0"/>
      <w:marRight w:val="0"/>
      <w:marTop w:val="0"/>
      <w:marBottom w:val="0"/>
      <w:divBdr>
        <w:top w:val="none" w:sz="0" w:space="0" w:color="auto"/>
        <w:left w:val="none" w:sz="0" w:space="0" w:color="auto"/>
        <w:bottom w:val="none" w:sz="0" w:space="0" w:color="auto"/>
        <w:right w:val="none" w:sz="0" w:space="0" w:color="auto"/>
      </w:divBdr>
    </w:div>
    <w:div w:id="514618980">
      <w:bodyDiv w:val="1"/>
      <w:marLeft w:val="0"/>
      <w:marRight w:val="0"/>
      <w:marTop w:val="0"/>
      <w:marBottom w:val="0"/>
      <w:divBdr>
        <w:top w:val="none" w:sz="0" w:space="0" w:color="auto"/>
        <w:left w:val="none" w:sz="0" w:space="0" w:color="auto"/>
        <w:bottom w:val="none" w:sz="0" w:space="0" w:color="auto"/>
        <w:right w:val="none" w:sz="0" w:space="0" w:color="auto"/>
      </w:divBdr>
      <w:divsChild>
        <w:div w:id="1493180452">
          <w:marLeft w:val="274"/>
          <w:marRight w:val="0"/>
          <w:marTop w:val="0"/>
          <w:marBottom w:val="0"/>
          <w:divBdr>
            <w:top w:val="none" w:sz="0" w:space="0" w:color="auto"/>
            <w:left w:val="none" w:sz="0" w:space="0" w:color="auto"/>
            <w:bottom w:val="none" w:sz="0" w:space="0" w:color="auto"/>
            <w:right w:val="none" w:sz="0" w:space="0" w:color="auto"/>
          </w:divBdr>
        </w:div>
        <w:div w:id="310837574">
          <w:marLeft w:val="274"/>
          <w:marRight w:val="0"/>
          <w:marTop w:val="0"/>
          <w:marBottom w:val="0"/>
          <w:divBdr>
            <w:top w:val="none" w:sz="0" w:space="0" w:color="auto"/>
            <w:left w:val="none" w:sz="0" w:space="0" w:color="auto"/>
            <w:bottom w:val="none" w:sz="0" w:space="0" w:color="auto"/>
            <w:right w:val="none" w:sz="0" w:space="0" w:color="auto"/>
          </w:divBdr>
        </w:div>
        <w:div w:id="1738242087">
          <w:marLeft w:val="274"/>
          <w:marRight w:val="0"/>
          <w:marTop w:val="0"/>
          <w:marBottom w:val="0"/>
          <w:divBdr>
            <w:top w:val="none" w:sz="0" w:space="0" w:color="auto"/>
            <w:left w:val="none" w:sz="0" w:space="0" w:color="auto"/>
            <w:bottom w:val="none" w:sz="0" w:space="0" w:color="auto"/>
            <w:right w:val="none" w:sz="0" w:space="0" w:color="auto"/>
          </w:divBdr>
        </w:div>
      </w:divsChild>
    </w:div>
    <w:div w:id="556549937">
      <w:bodyDiv w:val="1"/>
      <w:marLeft w:val="0"/>
      <w:marRight w:val="0"/>
      <w:marTop w:val="0"/>
      <w:marBottom w:val="0"/>
      <w:divBdr>
        <w:top w:val="none" w:sz="0" w:space="0" w:color="auto"/>
        <w:left w:val="none" w:sz="0" w:space="0" w:color="auto"/>
        <w:bottom w:val="none" w:sz="0" w:space="0" w:color="auto"/>
        <w:right w:val="none" w:sz="0" w:space="0" w:color="auto"/>
      </w:divBdr>
    </w:div>
    <w:div w:id="652611911">
      <w:bodyDiv w:val="1"/>
      <w:marLeft w:val="0"/>
      <w:marRight w:val="0"/>
      <w:marTop w:val="0"/>
      <w:marBottom w:val="0"/>
      <w:divBdr>
        <w:top w:val="none" w:sz="0" w:space="0" w:color="auto"/>
        <w:left w:val="none" w:sz="0" w:space="0" w:color="auto"/>
        <w:bottom w:val="none" w:sz="0" w:space="0" w:color="auto"/>
        <w:right w:val="none" w:sz="0" w:space="0" w:color="auto"/>
      </w:divBdr>
      <w:divsChild>
        <w:div w:id="2008361624">
          <w:marLeft w:val="274"/>
          <w:marRight w:val="0"/>
          <w:marTop w:val="0"/>
          <w:marBottom w:val="0"/>
          <w:divBdr>
            <w:top w:val="none" w:sz="0" w:space="0" w:color="auto"/>
            <w:left w:val="none" w:sz="0" w:space="0" w:color="auto"/>
            <w:bottom w:val="none" w:sz="0" w:space="0" w:color="auto"/>
            <w:right w:val="none" w:sz="0" w:space="0" w:color="auto"/>
          </w:divBdr>
        </w:div>
      </w:divsChild>
    </w:div>
    <w:div w:id="784812841">
      <w:bodyDiv w:val="1"/>
      <w:marLeft w:val="0"/>
      <w:marRight w:val="0"/>
      <w:marTop w:val="0"/>
      <w:marBottom w:val="0"/>
      <w:divBdr>
        <w:top w:val="none" w:sz="0" w:space="0" w:color="auto"/>
        <w:left w:val="none" w:sz="0" w:space="0" w:color="auto"/>
        <w:bottom w:val="none" w:sz="0" w:space="0" w:color="auto"/>
        <w:right w:val="none" w:sz="0" w:space="0" w:color="auto"/>
      </w:divBdr>
    </w:div>
    <w:div w:id="803818678">
      <w:bodyDiv w:val="1"/>
      <w:marLeft w:val="0"/>
      <w:marRight w:val="0"/>
      <w:marTop w:val="0"/>
      <w:marBottom w:val="0"/>
      <w:divBdr>
        <w:top w:val="none" w:sz="0" w:space="0" w:color="auto"/>
        <w:left w:val="none" w:sz="0" w:space="0" w:color="auto"/>
        <w:bottom w:val="none" w:sz="0" w:space="0" w:color="auto"/>
        <w:right w:val="none" w:sz="0" w:space="0" w:color="auto"/>
      </w:divBdr>
    </w:div>
    <w:div w:id="811218610">
      <w:bodyDiv w:val="1"/>
      <w:marLeft w:val="0"/>
      <w:marRight w:val="0"/>
      <w:marTop w:val="0"/>
      <w:marBottom w:val="0"/>
      <w:divBdr>
        <w:top w:val="none" w:sz="0" w:space="0" w:color="auto"/>
        <w:left w:val="none" w:sz="0" w:space="0" w:color="auto"/>
        <w:bottom w:val="none" w:sz="0" w:space="0" w:color="auto"/>
        <w:right w:val="none" w:sz="0" w:space="0" w:color="auto"/>
      </w:divBdr>
      <w:divsChild>
        <w:div w:id="437414219">
          <w:marLeft w:val="274"/>
          <w:marRight w:val="0"/>
          <w:marTop w:val="0"/>
          <w:marBottom w:val="0"/>
          <w:divBdr>
            <w:top w:val="none" w:sz="0" w:space="0" w:color="auto"/>
            <w:left w:val="none" w:sz="0" w:space="0" w:color="auto"/>
            <w:bottom w:val="none" w:sz="0" w:space="0" w:color="auto"/>
            <w:right w:val="none" w:sz="0" w:space="0" w:color="auto"/>
          </w:divBdr>
        </w:div>
        <w:div w:id="1679890292">
          <w:marLeft w:val="274"/>
          <w:marRight w:val="0"/>
          <w:marTop w:val="0"/>
          <w:marBottom w:val="0"/>
          <w:divBdr>
            <w:top w:val="none" w:sz="0" w:space="0" w:color="auto"/>
            <w:left w:val="none" w:sz="0" w:space="0" w:color="auto"/>
            <w:bottom w:val="none" w:sz="0" w:space="0" w:color="auto"/>
            <w:right w:val="none" w:sz="0" w:space="0" w:color="auto"/>
          </w:divBdr>
        </w:div>
        <w:div w:id="56905164">
          <w:marLeft w:val="274"/>
          <w:marRight w:val="0"/>
          <w:marTop w:val="0"/>
          <w:marBottom w:val="0"/>
          <w:divBdr>
            <w:top w:val="none" w:sz="0" w:space="0" w:color="auto"/>
            <w:left w:val="none" w:sz="0" w:space="0" w:color="auto"/>
            <w:bottom w:val="none" w:sz="0" w:space="0" w:color="auto"/>
            <w:right w:val="none" w:sz="0" w:space="0" w:color="auto"/>
          </w:divBdr>
        </w:div>
      </w:divsChild>
    </w:div>
    <w:div w:id="834762967">
      <w:bodyDiv w:val="1"/>
      <w:marLeft w:val="0"/>
      <w:marRight w:val="0"/>
      <w:marTop w:val="0"/>
      <w:marBottom w:val="0"/>
      <w:divBdr>
        <w:top w:val="none" w:sz="0" w:space="0" w:color="auto"/>
        <w:left w:val="none" w:sz="0" w:space="0" w:color="auto"/>
        <w:bottom w:val="none" w:sz="0" w:space="0" w:color="auto"/>
        <w:right w:val="none" w:sz="0" w:space="0" w:color="auto"/>
      </w:divBdr>
    </w:div>
    <w:div w:id="924921685">
      <w:bodyDiv w:val="1"/>
      <w:marLeft w:val="0"/>
      <w:marRight w:val="0"/>
      <w:marTop w:val="0"/>
      <w:marBottom w:val="0"/>
      <w:divBdr>
        <w:top w:val="none" w:sz="0" w:space="0" w:color="auto"/>
        <w:left w:val="none" w:sz="0" w:space="0" w:color="auto"/>
        <w:bottom w:val="none" w:sz="0" w:space="0" w:color="auto"/>
        <w:right w:val="none" w:sz="0" w:space="0" w:color="auto"/>
      </w:divBdr>
    </w:div>
    <w:div w:id="948391673">
      <w:bodyDiv w:val="1"/>
      <w:marLeft w:val="0"/>
      <w:marRight w:val="0"/>
      <w:marTop w:val="0"/>
      <w:marBottom w:val="0"/>
      <w:divBdr>
        <w:top w:val="none" w:sz="0" w:space="0" w:color="auto"/>
        <w:left w:val="none" w:sz="0" w:space="0" w:color="auto"/>
        <w:bottom w:val="none" w:sz="0" w:space="0" w:color="auto"/>
        <w:right w:val="none" w:sz="0" w:space="0" w:color="auto"/>
      </w:divBdr>
    </w:div>
    <w:div w:id="997732216">
      <w:bodyDiv w:val="1"/>
      <w:marLeft w:val="0"/>
      <w:marRight w:val="0"/>
      <w:marTop w:val="0"/>
      <w:marBottom w:val="0"/>
      <w:divBdr>
        <w:top w:val="none" w:sz="0" w:space="0" w:color="auto"/>
        <w:left w:val="none" w:sz="0" w:space="0" w:color="auto"/>
        <w:bottom w:val="none" w:sz="0" w:space="0" w:color="auto"/>
        <w:right w:val="none" w:sz="0" w:space="0" w:color="auto"/>
      </w:divBdr>
    </w:div>
    <w:div w:id="1023752146">
      <w:bodyDiv w:val="1"/>
      <w:marLeft w:val="0"/>
      <w:marRight w:val="0"/>
      <w:marTop w:val="0"/>
      <w:marBottom w:val="0"/>
      <w:divBdr>
        <w:top w:val="none" w:sz="0" w:space="0" w:color="auto"/>
        <w:left w:val="none" w:sz="0" w:space="0" w:color="auto"/>
        <w:bottom w:val="none" w:sz="0" w:space="0" w:color="auto"/>
        <w:right w:val="none" w:sz="0" w:space="0" w:color="auto"/>
      </w:divBdr>
      <w:divsChild>
        <w:div w:id="377782209">
          <w:marLeft w:val="274"/>
          <w:marRight w:val="0"/>
          <w:marTop w:val="0"/>
          <w:marBottom w:val="0"/>
          <w:divBdr>
            <w:top w:val="none" w:sz="0" w:space="0" w:color="auto"/>
            <w:left w:val="none" w:sz="0" w:space="0" w:color="auto"/>
            <w:bottom w:val="none" w:sz="0" w:space="0" w:color="auto"/>
            <w:right w:val="none" w:sz="0" w:space="0" w:color="auto"/>
          </w:divBdr>
        </w:div>
      </w:divsChild>
    </w:div>
    <w:div w:id="1025134531">
      <w:bodyDiv w:val="1"/>
      <w:marLeft w:val="0"/>
      <w:marRight w:val="0"/>
      <w:marTop w:val="0"/>
      <w:marBottom w:val="0"/>
      <w:divBdr>
        <w:top w:val="none" w:sz="0" w:space="0" w:color="auto"/>
        <w:left w:val="none" w:sz="0" w:space="0" w:color="auto"/>
        <w:bottom w:val="none" w:sz="0" w:space="0" w:color="auto"/>
        <w:right w:val="none" w:sz="0" w:space="0" w:color="auto"/>
      </w:divBdr>
    </w:div>
    <w:div w:id="1145665992">
      <w:bodyDiv w:val="1"/>
      <w:marLeft w:val="0"/>
      <w:marRight w:val="0"/>
      <w:marTop w:val="0"/>
      <w:marBottom w:val="0"/>
      <w:divBdr>
        <w:top w:val="none" w:sz="0" w:space="0" w:color="auto"/>
        <w:left w:val="none" w:sz="0" w:space="0" w:color="auto"/>
        <w:bottom w:val="none" w:sz="0" w:space="0" w:color="auto"/>
        <w:right w:val="none" w:sz="0" w:space="0" w:color="auto"/>
      </w:divBdr>
    </w:div>
    <w:div w:id="1249926577">
      <w:bodyDiv w:val="1"/>
      <w:marLeft w:val="0"/>
      <w:marRight w:val="0"/>
      <w:marTop w:val="0"/>
      <w:marBottom w:val="0"/>
      <w:divBdr>
        <w:top w:val="none" w:sz="0" w:space="0" w:color="auto"/>
        <w:left w:val="none" w:sz="0" w:space="0" w:color="auto"/>
        <w:bottom w:val="none" w:sz="0" w:space="0" w:color="auto"/>
        <w:right w:val="none" w:sz="0" w:space="0" w:color="auto"/>
      </w:divBdr>
    </w:div>
    <w:div w:id="14610707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774">
          <w:marLeft w:val="274"/>
          <w:marRight w:val="0"/>
          <w:marTop w:val="0"/>
          <w:marBottom w:val="0"/>
          <w:divBdr>
            <w:top w:val="none" w:sz="0" w:space="0" w:color="auto"/>
            <w:left w:val="none" w:sz="0" w:space="0" w:color="auto"/>
            <w:bottom w:val="none" w:sz="0" w:space="0" w:color="auto"/>
            <w:right w:val="none" w:sz="0" w:space="0" w:color="auto"/>
          </w:divBdr>
        </w:div>
      </w:divsChild>
    </w:div>
    <w:div w:id="1658803726">
      <w:bodyDiv w:val="1"/>
      <w:marLeft w:val="0"/>
      <w:marRight w:val="0"/>
      <w:marTop w:val="0"/>
      <w:marBottom w:val="0"/>
      <w:divBdr>
        <w:top w:val="none" w:sz="0" w:space="0" w:color="auto"/>
        <w:left w:val="none" w:sz="0" w:space="0" w:color="auto"/>
        <w:bottom w:val="none" w:sz="0" w:space="0" w:color="auto"/>
        <w:right w:val="none" w:sz="0" w:space="0" w:color="auto"/>
      </w:divBdr>
      <w:divsChild>
        <w:div w:id="171844816">
          <w:marLeft w:val="274"/>
          <w:marRight w:val="0"/>
          <w:marTop w:val="0"/>
          <w:marBottom w:val="0"/>
          <w:divBdr>
            <w:top w:val="none" w:sz="0" w:space="0" w:color="auto"/>
            <w:left w:val="none" w:sz="0" w:space="0" w:color="auto"/>
            <w:bottom w:val="none" w:sz="0" w:space="0" w:color="auto"/>
            <w:right w:val="none" w:sz="0" w:space="0" w:color="auto"/>
          </w:divBdr>
        </w:div>
        <w:div w:id="1840080195">
          <w:marLeft w:val="274"/>
          <w:marRight w:val="0"/>
          <w:marTop w:val="0"/>
          <w:marBottom w:val="0"/>
          <w:divBdr>
            <w:top w:val="none" w:sz="0" w:space="0" w:color="auto"/>
            <w:left w:val="none" w:sz="0" w:space="0" w:color="auto"/>
            <w:bottom w:val="none" w:sz="0" w:space="0" w:color="auto"/>
            <w:right w:val="none" w:sz="0" w:space="0" w:color="auto"/>
          </w:divBdr>
        </w:div>
      </w:divsChild>
    </w:div>
    <w:div w:id="1740206206">
      <w:bodyDiv w:val="1"/>
      <w:marLeft w:val="0"/>
      <w:marRight w:val="0"/>
      <w:marTop w:val="0"/>
      <w:marBottom w:val="0"/>
      <w:divBdr>
        <w:top w:val="none" w:sz="0" w:space="0" w:color="auto"/>
        <w:left w:val="none" w:sz="0" w:space="0" w:color="auto"/>
        <w:bottom w:val="none" w:sz="0" w:space="0" w:color="auto"/>
        <w:right w:val="none" w:sz="0" w:space="0" w:color="auto"/>
      </w:divBdr>
    </w:div>
    <w:div w:id="1840541745">
      <w:bodyDiv w:val="1"/>
      <w:marLeft w:val="0"/>
      <w:marRight w:val="0"/>
      <w:marTop w:val="0"/>
      <w:marBottom w:val="0"/>
      <w:divBdr>
        <w:top w:val="none" w:sz="0" w:space="0" w:color="auto"/>
        <w:left w:val="none" w:sz="0" w:space="0" w:color="auto"/>
        <w:bottom w:val="none" w:sz="0" w:space="0" w:color="auto"/>
        <w:right w:val="none" w:sz="0" w:space="0" w:color="auto"/>
      </w:divBdr>
    </w:div>
    <w:div w:id="2002805582">
      <w:bodyDiv w:val="1"/>
      <w:marLeft w:val="0"/>
      <w:marRight w:val="0"/>
      <w:marTop w:val="0"/>
      <w:marBottom w:val="0"/>
      <w:divBdr>
        <w:top w:val="none" w:sz="0" w:space="0" w:color="auto"/>
        <w:left w:val="none" w:sz="0" w:space="0" w:color="auto"/>
        <w:bottom w:val="none" w:sz="0" w:space="0" w:color="auto"/>
        <w:right w:val="none" w:sz="0" w:space="0" w:color="auto"/>
      </w:divBdr>
    </w:div>
    <w:div w:id="2046324114">
      <w:bodyDiv w:val="1"/>
      <w:marLeft w:val="0"/>
      <w:marRight w:val="0"/>
      <w:marTop w:val="0"/>
      <w:marBottom w:val="0"/>
      <w:divBdr>
        <w:top w:val="none" w:sz="0" w:space="0" w:color="auto"/>
        <w:left w:val="none" w:sz="0" w:space="0" w:color="auto"/>
        <w:bottom w:val="none" w:sz="0" w:space="0" w:color="auto"/>
        <w:right w:val="none" w:sz="0" w:space="0" w:color="auto"/>
      </w:divBdr>
    </w:div>
    <w:div w:id="2052069481">
      <w:bodyDiv w:val="1"/>
      <w:marLeft w:val="0"/>
      <w:marRight w:val="0"/>
      <w:marTop w:val="0"/>
      <w:marBottom w:val="0"/>
      <w:divBdr>
        <w:top w:val="none" w:sz="0" w:space="0" w:color="auto"/>
        <w:left w:val="none" w:sz="0" w:space="0" w:color="auto"/>
        <w:bottom w:val="none" w:sz="0" w:space="0" w:color="auto"/>
        <w:right w:val="none" w:sz="0" w:space="0" w:color="auto"/>
      </w:divBdr>
    </w:div>
    <w:div w:id="2092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rugchecking.cdpe.org/" TargetMode="External"/><Relationship Id="rId18" Type="http://schemas.openxmlformats.org/officeDocument/2006/relationships/hyperlink" Target="https://drugchecking.cdpe.org/" TargetMode="External"/><Relationship Id="rId26" Type="http://schemas.openxmlformats.org/officeDocument/2006/relationships/hyperlink" Target="https://drugchecking.cdpe.org/drug-dictionary/" TargetMode="External"/><Relationship Id="rId3" Type="http://schemas.openxmlformats.org/officeDocument/2006/relationships/settings" Target="settings.xml"/><Relationship Id="rId21" Type="http://schemas.openxmlformats.org/officeDocument/2006/relationships/hyperlink" Target="https://drugchecking.cdpe.org/about/" TargetMode="External"/><Relationship Id="rId7" Type="http://schemas.openxmlformats.org/officeDocument/2006/relationships/hyperlink" Target="https://drugchecking.cdpe.org/about/" TargetMode="External"/><Relationship Id="rId12" Type="http://schemas.openxmlformats.org/officeDocument/2006/relationships/hyperlink" Target="https://drugchecking.cdpe.org/drug-dictionary/" TargetMode="External"/><Relationship Id="rId17" Type="http://schemas.openxmlformats.org/officeDocument/2006/relationships/hyperlink" Target="https://drugchecking.cdpe.org/" TargetMode="External"/><Relationship Id="rId25" Type="http://schemas.openxmlformats.org/officeDocument/2006/relationships/hyperlink" Target="https://drugchecking.cdpe.org/drug-dictionary" TargetMode="External"/><Relationship Id="rId2" Type="http://schemas.openxmlformats.org/officeDocument/2006/relationships/styles" Target="styles.xml"/><Relationship Id="rId16" Type="http://schemas.openxmlformats.org/officeDocument/2006/relationships/hyperlink" Target="https://drugchecking.cdpe.org/" TargetMode="External"/><Relationship Id="rId20" Type="http://schemas.openxmlformats.org/officeDocument/2006/relationships/hyperlink" Target="https://drugchecking.cdpe.org/" TargetMode="External"/><Relationship Id="rId29" Type="http://schemas.openxmlformats.org/officeDocument/2006/relationships/hyperlink" Target="https://drugchecking.cdp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ugchecking.cdpe.org/drug-dictionary/" TargetMode="External"/><Relationship Id="rId24" Type="http://schemas.openxmlformats.org/officeDocument/2006/relationships/hyperlink" Target="https://drugchecking.cdpe.org/about/" TargetMode="External"/><Relationship Id="rId5" Type="http://schemas.openxmlformats.org/officeDocument/2006/relationships/footnotes" Target="footnotes.xml"/><Relationship Id="rId15" Type="http://schemas.openxmlformats.org/officeDocument/2006/relationships/hyperlink" Target="https://drugchecking.cdpe.org/" TargetMode="External"/><Relationship Id="rId23" Type="http://schemas.openxmlformats.org/officeDocument/2006/relationships/chart" Target="charts/chart4.xml"/><Relationship Id="rId28" Type="http://schemas.openxmlformats.org/officeDocument/2006/relationships/hyperlink" Target="https://drugchecking.cdpe.org/" TargetMode="External"/><Relationship Id="rId10" Type="http://schemas.openxmlformats.org/officeDocument/2006/relationships/hyperlink" Target="https://drugchecking.cdpe.org/about/" TargetMode="External"/><Relationship Id="rId19" Type="http://schemas.openxmlformats.org/officeDocument/2006/relationships/hyperlink" Target="https://drugchecking.cdp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drugchecking.cdpe.org/" TargetMode="External"/><Relationship Id="rId22" Type="http://schemas.openxmlformats.org/officeDocument/2006/relationships/chart" Target="charts/chart3.xml"/><Relationship Id="rId27" Type="http://schemas.openxmlformats.org/officeDocument/2006/relationships/hyperlink" Target="https://drugchecking.cdpe.org/"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dirty="0" smtClean="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rPr>
              <a:t>What people believed</a:t>
            </a:r>
            <a:r>
              <a:rPr lang="en-US" sz="1200" baseline="0" dirty="0" smtClean="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rPr>
              <a:t> they were purchasing</a:t>
            </a:r>
            <a:r>
              <a:rPr lang="en-US" sz="1200" baseline="30000" dirty="0" smtClean="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rPr>
              <a:t>1</a:t>
            </a:r>
            <a:endParaRPr lang="en-US" sz="1200" dirty="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endParaRPr>
          </a:p>
        </c:rich>
      </c:tx>
      <c:layout>
        <c:manualLayout>
          <c:xMode val="edge"/>
          <c:yMode val="edge"/>
          <c:x val="0.1512036751909285"/>
          <c:y val="7.2007233424976308E-2"/>
        </c:manualLayout>
      </c:layout>
      <c:overlay val="0"/>
    </c:title>
    <c:autoTitleDeleted val="0"/>
    <c:plotArea>
      <c:layout>
        <c:manualLayout>
          <c:layoutTarget val="inner"/>
          <c:xMode val="edge"/>
          <c:yMode val="edge"/>
          <c:x val="0.11032509550167616"/>
          <c:y val="0.30470710080158897"/>
          <c:w val="0.19705447710125348"/>
          <c:h val="0.64548655742356542"/>
        </c:manualLayout>
      </c:layout>
      <c:doughnutChart>
        <c:varyColors val="1"/>
        <c:ser>
          <c:idx val="0"/>
          <c:order val="0"/>
          <c:tx>
            <c:strRef>
              <c:f>Sheet1!$B$1</c:f>
              <c:strCache>
                <c:ptCount val="1"/>
                <c:pt idx="0">
                  <c:v>Percentage</c:v>
                </c:pt>
              </c:strCache>
            </c:strRef>
          </c:tx>
          <c:spPr>
            <a:ln w="0">
              <a:solidFill>
                <a:schemeClr val="bg1"/>
              </a:solidFill>
            </a:ln>
          </c:spPr>
          <c:dPt>
            <c:idx val="0"/>
            <c:bubble3D val="0"/>
            <c:explosion val="5"/>
            <c:spPr>
              <a:gradFill>
                <a:gsLst>
                  <a:gs pos="0">
                    <a:srgbClr val="4E0000"/>
                  </a:gs>
                  <a:gs pos="32000">
                    <a:srgbClr val="780000"/>
                  </a:gs>
                  <a:gs pos="100000">
                    <a:srgbClr val="8E0000"/>
                  </a:gs>
                </a:gsLst>
                <a:lin ang="5400000" scaled="1"/>
              </a:gradFill>
              <a:ln w="0">
                <a:solidFill>
                  <a:schemeClr val="bg1"/>
                </a:solidFill>
              </a:ln>
              <a:effectLst/>
            </c:spPr>
            <c:extLst>
              <c:ext xmlns:c16="http://schemas.microsoft.com/office/drawing/2014/chart" uri="{C3380CC4-5D6E-409C-BE32-E72D297353CC}">
                <c16:uniqueId val="{00000001-6AF5-46FF-9277-5E5768200000}"/>
              </c:ext>
            </c:extLst>
          </c:dPt>
          <c:dPt>
            <c:idx val="1"/>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3-6AF5-46FF-9277-5E5768200000}"/>
              </c:ext>
            </c:extLst>
          </c:dPt>
          <c:dPt>
            <c:idx val="2"/>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5-6AF5-46FF-9277-5E5768200000}"/>
              </c:ext>
            </c:extLst>
          </c:dPt>
          <c:dPt>
            <c:idx val="3"/>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7-6AF5-46FF-9277-5E5768200000}"/>
              </c:ext>
            </c:extLst>
          </c:dPt>
          <c:dPt>
            <c:idx val="4"/>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9-6AF5-46FF-9277-5E5768200000}"/>
              </c:ext>
            </c:extLst>
          </c:dPt>
          <c:dPt>
            <c:idx val="5"/>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B-6AF5-46FF-9277-5E5768200000}"/>
              </c:ext>
            </c:extLst>
          </c:dPt>
          <c:dPt>
            <c:idx val="6"/>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D-6AF5-46FF-9277-5E5768200000}"/>
              </c:ext>
            </c:extLst>
          </c:dPt>
          <c:dPt>
            <c:idx val="7"/>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F-6AF5-46FF-9277-5E5768200000}"/>
              </c:ext>
            </c:extLst>
          </c:dPt>
          <c:cat>
            <c:strRef>
              <c:f>Sheet1!$A$2:$A$9</c:f>
              <c:strCache>
                <c:ptCount val="8"/>
                <c:pt idx="0">
                  <c:v>fentanyl (45%)</c:v>
                </c:pt>
                <c:pt idx="1">
                  <c:v>cocaine (11%)</c:v>
                </c:pt>
                <c:pt idx="2">
                  <c:v>MDMA (8%)</c:v>
                </c:pt>
                <c:pt idx="3">
                  <c:v>methamphetamine (7%) </c:v>
                </c:pt>
                <c:pt idx="4">
                  <c:v>ketamine (5%)</c:v>
                </c:pt>
                <c:pt idx="5">
                  <c:v>benzodiazepine (3%)</c:v>
                </c:pt>
                <c:pt idx="6">
                  <c:v>crack cocaine (2%)</c:v>
                </c:pt>
                <c:pt idx="7">
                  <c:v>other (19%)</c:v>
                </c:pt>
              </c:strCache>
            </c:strRef>
          </c:cat>
          <c:val>
            <c:numRef>
              <c:f>Sheet1!$B$2:$B$9</c:f>
              <c:numCache>
                <c:formatCode>General</c:formatCode>
                <c:ptCount val="8"/>
                <c:pt idx="0">
                  <c:v>3593</c:v>
                </c:pt>
                <c:pt idx="1">
                  <c:v>897</c:v>
                </c:pt>
                <c:pt idx="2">
                  <c:v>648</c:v>
                </c:pt>
                <c:pt idx="3">
                  <c:v>577</c:v>
                </c:pt>
                <c:pt idx="4">
                  <c:v>370</c:v>
                </c:pt>
                <c:pt idx="5">
                  <c:v>257</c:v>
                </c:pt>
                <c:pt idx="6">
                  <c:v>154</c:v>
                </c:pt>
                <c:pt idx="7">
                  <c:v>1462</c:v>
                </c:pt>
              </c:numCache>
            </c:numRef>
          </c:val>
          <c:extLst>
            <c:ext xmlns:c16="http://schemas.microsoft.com/office/drawing/2014/chart" uri="{C3380CC4-5D6E-409C-BE32-E72D297353CC}">
              <c16:uniqueId val="{00000010-6AF5-46FF-9277-5E5768200000}"/>
            </c:ext>
          </c:extLst>
        </c:ser>
        <c:dLbls>
          <c:showLegendKey val="0"/>
          <c:showVal val="0"/>
          <c:showCatName val="0"/>
          <c:showSerName val="0"/>
          <c:showPercent val="0"/>
          <c:showBubbleSize val="0"/>
          <c:showLeaderLines val="0"/>
        </c:dLbls>
        <c:firstSliceAng val="8"/>
        <c:holeSize val="73"/>
      </c:doughnutChart>
      <c:spPr>
        <a:noFill/>
        <a:ln w="22225">
          <a:noFill/>
        </a:ln>
        <a:effectLst/>
      </c:spPr>
    </c:plotArea>
    <c:legend>
      <c:legendPos val="b"/>
      <c:layout>
        <c:manualLayout>
          <c:xMode val="edge"/>
          <c:yMode val="edge"/>
          <c:x val="0.32897724418111102"/>
          <c:y val="0.270029651698943"/>
          <c:w val="0.4169697599681228"/>
          <c:h val="0.729970348301057"/>
        </c:manualLayout>
      </c:layout>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28575">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aseline="0" dirty="0" smtClean="0">
                <a:solidFill>
                  <a:srgbClr val="680000"/>
                </a:solidFill>
                <a:latin typeface="Open Sans SemiBold" panose="020B0706030804020204" pitchFamily="34" charset="0"/>
                <a:ea typeface="Open Sans SemiBold" panose="020B0706030804020204" pitchFamily="34" charset="0"/>
                <a:cs typeface="Open Sans SemiBold" panose="020B0706030804020204" pitchFamily="34" charset="0"/>
              </a:rPr>
              <a:t>What people actually purchased</a:t>
            </a:r>
            <a:r>
              <a:rPr lang="en-US" sz="1200" b="1" baseline="30000" dirty="0" smtClean="0">
                <a:solidFill>
                  <a:srgbClr val="780000"/>
                </a:solidFill>
                <a:latin typeface="+mn-lt"/>
                <a:ea typeface="Open Sans" panose="020B0606030504020204" pitchFamily="34" charset="0"/>
                <a:cs typeface="Open Sans" panose="020B0606030504020204" pitchFamily="34" charset="0"/>
              </a:rPr>
              <a:t>2</a:t>
            </a:r>
            <a:r>
              <a:rPr lang="en-US" sz="1200" baseline="0" dirty="0" smtClean="0">
                <a:solidFill>
                  <a:schemeClr val="tx1"/>
                </a:solidFill>
                <a:latin typeface="+mn-lt"/>
                <a:ea typeface="Open Sans" panose="020B0606030504020204" pitchFamily="34" charset="0"/>
                <a:cs typeface="Open Sans" panose="020B0606030504020204" pitchFamily="34" charset="0"/>
              </a:rPr>
              <a:t> </a:t>
            </a:r>
            <a:endParaRPr lang="en-US" sz="1200" b="0" dirty="0">
              <a:solidFill>
                <a:schemeClr val="tx1"/>
              </a:solidFill>
              <a:latin typeface="+mn-lt"/>
              <a:ea typeface="Open Sans" panose="020B0606030504020204" pitchFamily="34" charset="0"/>
              <a:cs typeface="Open Sans" panose="020B0606030504020204" pitchFamily="34" charset="0"/>
            </a:endParaRPr>
          </a:p>
        </c:rich>
      </c:tx>
      <c:layout>
        <c:manualLayout>
          <c:xMode val="edge"/>
          <c:yMode val="edge"/>
          <c:x val="0.30864342456361005"/>
          <c:y val="9.1088175264093338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29543642746255"/>
          <c:y val="0.28609546028968602"/>
          <c:w val="0.21549572733248487"/>
          <c:h val="0.44934849810440364"/>
        </c:manualLayout>
      </c:layout>
      <c:pieChart>
        <c:varyColors val="1"/>
        <c:ser>
          <c:idx val="0"/>
          <c:order val="0"/>
          <c:tx>
            <c:strRef>
              <c:f>Sheet1!$B$1</c:f>
              <c:strCache>
                <c:ptCount val="1"/>
                <c:pt idx="0">
                  <c:v>Percentage</c:v>
                </c:pt>
              </c:strCache>
            </c:strRef>
          </c:tx>
          <c:spPr>
            <a:ln w="3175">
              <a:solidFill>
                <a:schemeClr val="bg1">
                  <a:lumMod val="50000"/>
                </a:schemeClr>
              </a:solidFill>
            </a:ln>
          </c:spPr>
          <c:dPt>
            <c:idx val="0"/>
            <c:bubble3D val="0"/>
            <c:explosion val="9"/>
            <c:spPr>
              <a:solidFill>
                <a:schemeClr val="bg1">
                  <a:lumMod val="65000"/>
                </a:schemeClr>
              </a:solidFill>
              <a:ln w="3175">
                <a:solidFill>
                  <a:schemeClr val="bg1">
                    <a:lumMod val="65000"/>
                  </a:schemeClr>
                </a:solidFill>
              </a:ln>
              <a:effectLst/>
            </c:spPr>
            <c:extLst>
              <c:ext xmlns:c16="http://schemas.microsoft.com/office/drawing/2014/chart" uri="{C3380CC4-5D6E-409C-BE32-E72D297353CC}">
                <c16:uniqueId val="{00000001-CBAE-471C-B6CF-53A7C8D2A9D1}"/>
              </c:ext>
            </c:extLst>
          </c:dPt>
          <c:dPt>
            <c:idx val="1"/>
            <c:bubble3D val="0"/>
            <c:explosion val="8"/>
            <c:spPr>
              <a:solidFill>
                <a:schemeClr val="tx1"/>
              </a:solidFill>
              <a:ln w="3175">
                <a:solidFill>
                  <a:schemeClr val="bg1">
                    <a:lumMod val="50000"/>
                  </a:schemeClr>
                </a:solidFill>
              </a:ln>
              <a:effectLst/>
            </c:spPr>
            <c:extLst>
              <c:ext xmlns:c16="http://schemas.microsoft.com/office/drawing/2014/chart" uri="{C3380CC4-5D6E-409C-BE32-E72D297353CC}">
                <c16:uniqueId val="{00000003-CBAE-471C-B6CF-53A7C8D2A9D1}"/>
              </c:ext>
            </c:extLst>
          </c:dPt>
          <c:dPt>
            <c:idx val="2"/>
            <c:bubble3D val="0"/>
            <c:explosion val="9"/>
            <c:spPr>
              <a:solidFill>
                <a:srgbClr val="920000"/>
              </a:solidFill>
              <a:ln w="3175">
                <a:solidFill>
                  <a:schemeClr val="bg1">
                    <a:lumMod val="50000"/>
                  </a:schemeClr>
                </a:solidFill>
              </a:ln>
              <a:effectLst/>
            </c:spPr>
            <c:extLst>
              <c:ext xmlns:c16="http://schemas.microsoft.com/office/drawing/2014/chart" uri="{C3380CC4-5D6E-409C-BE32-E72D297353CC}">
                <c16:uniqueId val="{00000005-CBAE-471C-B6CF-53A7C8D2A9D1}"/>
              </c:ext>
            </c:extLst>
          </c:dPt>
          <c:cat>
            <c:strRef>
              <c:f>Sheet1!$A$2:$A$4</c:f>
              <c:strCache>
                <c:ptCount val="3"/>
                <c:pt idx="0">
                  <c:v>only fentanyl (3%)</c:v>
                </c:pt>
                <c:pt idx="1">
                  <c:v>no fentanyl (12%)</c:v>
                </c:pt>
                <c:pt idx="2">
                  <c:v>Fentanyl, other drugs and fillers (85%)</c:v>
                </c:pt>
              </c:strCache>
            </c:strRef>
          </c:cat>
          <c:val>
            <c:numRef>
              <c:f>Sheet1!$B$2:$B$4</c:f>
              <c:numCache>
                <c:formatCode>General</c:formatCode>
                <c:ptCount val="3"/>
                <c:pt idx="0">
                  <c:v>3</c:v>
                </c:pt>
                <c:pt idx="1">
                  <c:v>12</c:v>
                </c:pt>
                <c:pt idx="2">
                  <c:v>85</c:v>
                </c:pt>
              </c:numCache>
            </c:numRef>
          </c:val>
          <c:extLst>
            <c:ext xmlns:c16="http://schemas.microsoft.com/office/drawing/2014/chart" uri="{C3380CC4-5D6E-409C-BE32-E72D297353CC}">
              <c16:uniqueId val="{00000006-CBAE-471C-B6CF-53A7C8D2A9D1}"/>
            </c:ext>
          </c:extLst>
        </c:ser>
        <c:dLbls>
          <c:showLegendKey val="0"/>
          <c:showVal val="0"/>
          <c:showCatName val="0"/>
          <c:showSerName val="0"/>
          <c:showPercent val="0"/>
          <c:showBubbleSize val="0"/>
          <c:showLeaderLines val="1"/>
        </c:dLbls>
        <c:firstSliceAng val="273"/>
      </c:pieChart>
      <c:spPr>
        <a:noFill/>
        <a:ln>
          <a:noFill/>
        </a:ln>
        <a:effectLst/>
      </c:spPr>
    </c:plotArea>
    <c:legend>
      <c:legendPos val="b"/>
      <c:layout>
        <c:manualLayout>
          <c:xMode val="edge"/>
          <c:yMode val="edge"/>
          <c:x val="0.33428380520654555"/>
          <c:y val="0.35348033605645246"/>
          <c:w val="0.62620304741441424"/>
          <c:h val="0.31863439292310686"/>
        </c:manualLayout>
      </c:layout>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dirty="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rPr>
              <a:t>Ce que les gens pensaient acheter</a:t>
            </a:r>
            <a:r>
              <a:rPr lang="en-US" sz="1200" baseline="30000" dirty="0">
                <a:solidFill>
                  <a:srgbClr val="780000"/>
                </a:solidFill>
                <a:latin typeface="Open Sans SemiBold" panose="020B0706030804020204" pitchFamily="34" charset="0"/>
                <a:ea typeface="Open Sans SemiBold" panose="020B0706030804020204" pitchFamily="34" charset="0"/>
                <a:cs typeface="Open Sans SemiBold" panose="020B0706030804020204" pitchFamily="34" charset="0"/>
              </a:rPr>
              <a:t>1</a:t>
            </a:r>
          </a:p>
        </c:rich>
      </c:tx>
      <c:layout>
        <c:manualLayout>
          <c:xMode val="edge"/>
          <c:yMode val="edge"/>
          <c:x val="0.1512036751909285"/>
          <c:y val="7.2007233424976308E-2"/>
        </c:manualLayout>
      </c:layout>
      <c:overlay val="0"/>
    </c:title>
    <c:autoTitleDeleted val="0"/>
    <c:plotArea>
      <c:layout>
        <c:manualLayout>
          <c:layoutTarget val="inner"/>
          <c:xMode val="edge"/>
          <c:yMode val="edge"/>
          <c:x val="0.20734954582632578"/>
          <c:y val="0.21714094887245519"/>
          <c:w val="0.57292061237477021"/>
          <c:h val="0.46168732789052158"/>
        </c:manualLayout>
      </c:layout>
      <c:doughnutChart>
        <c:varyColors val="1"/>
        <c:ser>
          <c:idx val="0"/>
          <c:order val="0"/>
          <c:tx>
            <c:strRef>
              <c:f>Sheet1!$B$1</c:f>
              <c:strCache>
                <c:ptCount val="1"/>
                <c:pt idx="0">
                  <c:v>Percentage</c:v>
                </c:pt>
              </c:strCache>
            </c:strRef>
          </c:tx>
          <c:spPr>
            <a:ln w="0">
              <a:solidFill>
                <a:schemeClr val="bg1"/>
              </a:solidFill>
            </a:ln>
          </c:spPr>
          <c:dPt>
            <c:idx val="0"/>
            <c:bubble3D val="0"/>
            <c:explosion val="5"/>
            <c:spPr>
              <a:gradFill>
                <a:gsLst>
                  <a:gs pos="0">
                    <a:srgbClr val="4E0000"/>
                  </a:gs>
                  <a:gs pos="32000">
                    <a:srgbClr val="780000"/>
                  </a:gs>
                  <a:gs pos="100000">
                    <a:srgbClr val="8E0000"/>
                  </a:gs>
                </a:gsLst>
                <a:lin ang="5400000" scaled="1"/>
              </a:gradFill>
              <a:ln w="0">
                <a:solidFill>
                  <a:schemeClr val="bg1"/>
                </a:solidFill>
              </a:ln>
              <a:effectLst/>
            </c:spPr>
            <c:extLst>
              <c:ext xmlns:c16="http://schemas.microsoft.com/office/drawing/2014/chart" uri="{C3380CC4-5D6E-409C-BE32-E72D297353CC}">
                <c16:uniqueId val="{00000001-63AA-4834-8C85-E6B54CEB78FD}"/>
              </c:ext>
            </c:extLst>
          </c:dPt>
          <c:dPt>
            <c:idx val="1"/>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3-63AA-4834-8C85-E6B54CEB78FD}"/>
              </c:ext>
            </c:extLst>
          </c:dPt>
          <c:dPt>
            <c:idx val="2"/>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5-63AA-4834-8C85-E6B54CEB78FD}"/>
              </c:ext>
            </c:extLst>
          </c:dPt>
          <c:dPt>
            <c:idx val="3"/>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7-63AA-4834-8C85-E6B54CEB78FD}"/>
              </c:ext>
            </c:extLst>
          </c:dPt>
          <c:dPt>
            <c:idx val="4"/>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9-63AA-4834-8C85-E6B54CEB78FD}"/>
              </c:ext>
            </c:extLst>
          </c:dPt>
          <c:dPt>
            <c:idx val="5"/>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B-63AA-4834-8C85-E6B54CEB78FD}"/>
              </c:ext>
            </c:extLst>
          </c:dPt>
          <c:dPt>
            <c:idx val="6"/>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D-63AA-4834-8C85-E6B54CEB78FD}"/>
              </c:ext>
            </c:extLst>
          </c:dPt>
          <c:dPt>
            <c:idx val="7"/>
            <c:bubble3D val="0"/>
            <c:spPr>
              <a:solidFill>
                <a:schemeClr val="bg1">
                  <a:lumMod val="50000"/>
                </a:schemeClr>
              </a:solidFill>
              <a:ln w="0">
                <a:solidFill>
                  <a:schemeClr val="bg1"/>
                </a:solidFill>
              </a:ln>
              <a:effectLst/>
            </c:spPr>
            <c:extLst>
              <c:ext xmlns:c16="http://schemas.microsoft.com/office/drawing/2014/chart" uri="{C3380CC4-5D6E-409C-BE32-E72D297353CC}">
                <c16:uniqueId val="{0000000F-63AA-4834-8C85-E6B54CEB78FD}"/>
              </c:ext>
            </c:extLst>
          </c:dPt>
          <c:cat>
            <c:strRef>
              <c:f>Sheet1!$A$2:$A$9</c:f>
              <c:strCache>
                <c:ptCount val="8"/>
                <c:pt idx="0">
                  <c:v>fentanyl (45%)</c:v>
                </c:pt>
                <c:pt idx="1">
                  <c:v>cocaine (11%)</c:v>
                </c:pt>
                <c:pt idx="2">
                  <c:v>MDMA (8%)</c:v>
                </c:pt>
                <c:pt idx="3">
                  <c:v>methamphetamine (7%) </c:v>
                </c:pt>
                <c:pt idx="4">
                  <c:v>ketamine (5%)</c:v>
                </c:pt>
                <c:pt idx="5">
                  <c:v>benzodiazepine (3%)</c:v>
                </c:pt>
                <c:pt idx="6">
                  <c:v>crack (2%)</c:v>
                </c:pt>
                <c:pt idx="7">
                  <c:v>other (19%)</c:v>
                </c:pt>
              </c:strCache>
            </c:strRef>
          </c:cat>
          <c:val>
            <c:numRef>
              <c:f>Sheet1!$B$2:$B$9</c:f>
              <c:numCache>
                <c:formatCode>General</c:formatCode>
                <c:ptCount val="8"/>
                <c:pt idx="0">
                  <c:v>3593</c:v>
                </c:pt>
                <c:pt idx="1">
                  <c:v>897</c:v>
                </c:pt>
                <c:pt idx="2">
                  <c:v>648</c:v>
                </c:pt>
                <c:pt idx="3">
                  <c:v>577</c:v>
                </c:pt>
                <c:pt idx="4">
                  <c:v>370</c:v>
                </c:pt>
                <c:pt idx="5">
                  <c:v>257</c:v>
                </c:pt>
                <c:pt idx="6">
                  <c:v>154</c:v>
                </c:pt>
                <c:pt idx="7">
                  <c:v>1462</c:v>
                </c:pt>
              </c:numCache>
            </c:numRef>
          </c:val>
          <c:extLst>
            <c:ext xmlns:c16="http://schemas.microsoft.com/office/drawing/2014/chart" uri="{C3380CC4-5D6E-409C-BE32-E72D297353CC}">
              <c16:uniqueId val="{00000010-63AA-4834-8C85-E6B54CEB78FD}"/>
            </c:ext>
          </c:extLst>
        </c:ser>
        <c:dLbls>
          <c:showLegendKey val="0"/>
          <c:showVal val="0"/>
          <c:showCatName val="0"/>
          <c:showSerName val="0"/>
          <c:showPercent val="0"/>
          <c:showBubbleSize val="0"/>
          <c:showLeaderLines val="0"/>
        </c:dLbls>
        <c:firstSliceAng val="8"/>
        <c:holeSize val="73"/>
      </c:doughnutChart>
      <c:spPr>
        <a:noFill/>
        <a:ln w="22225">
          <a:noFill/>
        </a:ln>
        <a:effectLst/>
      </c:spPr>
    </c:plotArea>
    <c:legend>
      <c:legendPos val="b"/>
      <c:layout>
        <c:manualLayout>
          <c:xMode val="edge"/>
          <c:yMode val="edge"/>
          <c:x val="2.5346778564730374E-2"/>
          <c:y val="0.74329089029160611"/>
          <c:w val="0.94062212215907914"/>
          <c:h val="0.18202637472948524"/>
        </c:manualLayout>
      </c:layout>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28575">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aseline="0" dirty="0">
                <a:solidFill>
                  <a:srgbClr val="680000"/>
                </a:solidFill>
                <a:latin typeface="Open Sans SemiBold" panose="020B0706030804020204" pitchFamily="34" charset="0"/>
                <a:ea typeface="Open Sans SemiBold" panose="020B0706030804020204" pitchFamily="34" charset="0"/>
                <a:cs typeface="Open Sans SemiBold" panose="020B0706030804020204" pitchFamily="34" charset="0"/>
              </a:rPr>
              <a:t>Ce que les gens ont </a:t>
            </a:r>
            <a:r>
              <a:rPr lang="fr-FR" sz="1200" b="1" i="0" u="none" strike="noStrike" baseline="0">
                <a:effectLst/>
                <a:latin typeface="Open Sans SemiBold" panose="020B0706030804020204" pitchFamily="34" charset="0"/>
                <a:ea typeface="Open Sans SemiBold" panose="020B0706030804020204" pitchFamily="34" charset="0"/>
                <a:cs typeface="Open Sans SemiBold" panose="020B0706030804020204" pitchFamily="34" charset="0"/>
              </a:rPr>
              <a:t>réellement acheté</a:t>
            </a:r>
            <a:r>
              <a:rPr lang="fr-FR" sz="1200" b="1" i="0" u="none" strike="noStrike" baseline="30000">
                <a:effectLst/>
                <a:latin typeface="Open Sans SemiBold" panose="020B0706030804020204" pitchFamily="34" charset="0"/>
                <a:ea typeface="Open Sans SemiBold" panose="020B0706030804020204" pitchFamily="34" charset="0"/>
                <a:cs typeface="Open Sans SemiBold" panose="020B0706030804020204" pitchFamily="34" charset="0"/>
              </a:rPr>
              <a:t>2</a:t>
            </a:r>
            <a:endParaRPr lang="en-US" sz="1200" b="0" dirty="0">
              <a:solidFill>
                <a:schemeClr val="tx1"/>
              </a:solidFill>
              <a:latin typeface="Open Sans SemiBold" panose="020B0706030804020204" pitchFamily="34" charset="0"/>
              <a:ea typeface="Open Sans SemiBold" panose="020B0706030804020204" pitchFamily="34" charset="0"/>
              <a:cs typeface="Open Sans SemiBold" panose="020B0706030804020204" pitchFamily="34" charset="0"/>
            </a:endParaRPr>
          </a:p>
        </c:rich>
      </c:tx>
      <c:layout>
        <c:manualLayout>
          <c:xMode val="edge"/>
          <c:yMode val="edge"/>
          <c:x val="0.2608853664906895"/>
          <c:y val="4.554229448713419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251835771752021"/>
          <c:y val="0.15407650400029538"/>
          <c:w val="0.51640345657773057"/>
          <c:h val="0.4161430516394885"/>
        </c:manualLayout>
      </c:layout>
      <c:pieChart>
        <c:varyColors val="1"/>
        <c:ser>
          <c:idx val="0"/>
          <c:order val="0"/>
          <c:tx>
            <c:strRef>
              <c:f>Sheet1!$B$1</c:f>
              <c:strCache>
                <c:ptCount val="1"/>
                <c:pt idx="0">
                  <c:v>Percentage</c:v>
                </c:pt>
              </c:strCache>
            </c:strRef>
          </c:tx>
          <c:spPr>
            <a:ln w="3175">
              <a:solidFill>
                <a:schemeClr val="bg1">
                  <a:lumMod val="50000"/>
                </a:schemeClr>
              </a:solidFill>
            </a:ln>
          </c:spPr>
          <c:dPt>
            <c:idx val="0"/>
            <c:bubble3D val="0"/>
            <c:explosion val="9"/>
            <c:spPr>
              <a:solidFill>
                <a:schemeClr val="bg1">
                  <a:lumMod val="65000"/>
                </a:schemeClr>
              </a:solidFill>
              <a:ln w="3175">
                <a:solidFill>
                  <a:schemeClr val="bg1">
                    <a:lumMod val="65000"/>
                  </a:schemeClr>
                </a:solidFill>
              </a:ln>
              <a:effectLst/>
            </c:spPr>
            <c:extLst>
              <c:ext xmlns:c16="http://schemas.microsoft.com/office/drawing/2014/chart" uri="{C3380CC4-5D6E-409C-BE32-E72D297353CC}">
                <c16:uniqueId val="{00000001-B8DD-431C-AD94-345E90F616E7}"/>
              </c:ext>
            </c:extLst>
          </c:dPt>
          <c:dPt>
            <c:idx val="1"/>
            <c:bubble3D val="0"/>
            <c:explosion val="8"/>
            <c:spPr>
              <a:solidFill>
                <a:schemeClr val="tx1"/>
              </a:solidFill>
              <a:ln w="3175">
                <a:solidFill>
                  <a:schemeClr val="bg1">
                    <a:lumMod val="50000"/>
                  </a:schemeClr>
                </a:solidFill>
              </a:ln>
              <a:effectLst/>
            </c:spPr>
            <c:extLst>
              <c:ext xmlns:c16="http://schemas.microsoft.com/office/drawing/2014/chart" uri="{C3380CC4-5D6E-409C-BE32-E72D297353CC}">
                <c16:uniqueId val="{00000003-B8DD-431C-AD94-345E90F616E7}"/>
              </c:ext>
            </c:extLst>
          </c:dPt>
          <c:dPt>
            <c:idx val="2"/>
            <c:bubble3D val="0"/>
            <c:explosion val="9"/>
            <c:spPr>
              <a:solidFill>
                <a:srgbClr val="920000"/>
              </a:solidFill>
              <a:ln w="3175">
                <a:solidFill>
                  <a:schemeClr val="bg1">
                    <a:lumMod val="50000"/>
                  </a:schemeClr>
                </a:solidFill>
              </a:ln>
              <a:effectLst/>
            </c:spPr>
            <c:extLst>
              <c:ext xmlns:c16="http://schemas.microsoft.com/office/drawing/2014/chart" uri="{C3380CC4-5D6E-409C-BE32-E72D297353CC}">
                <c16:uniqueId val="{00000005-B8DD-431C-AD94-345E90F616E7}"/>
              </c:ext>
            </c:extLst>
          </c:dPt>
          <c:cat>
            <c:strRef>
              <c:f>Sheet1!$A$2:$A$4</c:f>
              <c:strCache>
                <c:ptCount val="3"/>
                <c:pt idx="0">
                  <c:v>seulement du fentanyl (3%)</c:v>
                </c:pt>
                <c:pt idx="1">
                  <c:v>pas du fentanyl (12%)</c:v>
                </c:pt>
                <c:pt idx="2">
                  <c:v>du fentanyl, mélangé à d’autres drogues et à des agents de remplissage (85 %)</c:v>
                </c:pt>
              </c:strCache>
            </c:strRef>
          </c:cat>
          <c:val>
            <c:numRef>
              <c:f>Sheet1!$B$2:$B$4</c:f>
              <c:numCache>
                <c:formatCode>General</c:formatCode>
                <c:ptCount val="3"/>
                <c:pt idx="0">
                  <c:v>3</c:v>
                </c:pt>
                <c:pt idx="1">
                  <c:v>12</c:v>
                </c:pt>
                <c:pt idx="2">
                  <c:v>85</c:v>
                </c:pt>
              </c:numCache>
            </c:numRef>
          </c:val>
          <c:extLst>
            <c:ext xmlns:c16="http://schemas.microsoft.com/office/drawing/2014/chart" uri="{C3380CC4-5D6E-409C-BE32-E72D297353CC}">
              <c16:uniqueId val="{00000006-B8DD-431C-AD94-345E90F616E7}"/>
            </c:ext>
          </c:extLst>
        </c:ser>
        <c:dLbls>
          <c:showLegendKey val="0"/>
          <c:showVal val="0"/>
          <c:showCatName val="0"/>
          <c:showSerName val="0"/>
          <c:showPercent val="0"/>
          <c:showBubbleSize val="0"/>
          <c:showLeaderLines val="1"/>
        </c:dLbls>
        <c:firstSliceAng val="273"/>
      </c:pieChart>
      <c:spPr>
        <a:noFill/>
        <a:ln>
          <a:noFill/>
        </a:ln>
        <a:effectLst/>
      </c:spPr>
    </c:plotArea>
    <c:legend>
      <c:legendPos val="b"/>
      <c:layout>
        <c:manualLayout>
          <c:xMode val="edge"/>
          <c:yMode val="edge"/>
          <c:x val="4.9049594738667456E-2"/>
          <c:y val="0.6160389428883345"/>
          <c:w val="0.90226269840250395"/>
          <c:h val="0.20867586796124699"/>
        </c:manualLayout>
      </c:layout>
      <c:overlay val="0"/>
      <c:spPr>
        <a:noFill/>
        <a:ln>
          <a:noFill/>
        </a:ln>
        <a:effectLst/>
      </c:spPr>
      <c:txPr>
        <a:bodyPr rot="0" spcFirstLastPara="1" vertOverflow="ellipsis" vert="horz" wrap="square" anchor="ctr" anchorCtr="1"/>
        <a:lstStyle/>
        <a:p>
          <a:pPr>
            <a:defRPr sz="11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2073</Words>
  <Characters>11819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Understanding how the unregulated opioid supply impacts the drug poisoning crisis - French and English plain text</dc:title>
  <dc:subject/>
  <dc:creator>Leah Green</dc:creator>
  <cp:keywords/>
  <dc:description/>
  <cp:lastModifiedBy>Leah Green</cp:lastModifiedBy>
  <cp:revision>10</cp:revision>
  <dcterms:created xsi:type="dcterms:W3CDTF">2023-03-14T16:58:00Z</dcterms:created>
  <dcterms:modified xsi:type="dcterms:W3CDTF">2023-04-17T22:36:00Z</dcterms:modified>
</cp:coreProperties>
</file>