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B0" w:rsidRPr="00AA6CA1" w:rsidRDefault="00327E90" w:rsidP="00847D62">
      <w:pPr>
        <w:pStyle w:val="Heading1"/>
        <w:spacing w:before="0" w:after="240"/>
      </w:pPr>
      <w:bookmarkStart w:id="0" w:name="_GoBack"/>
      <w:bookmarkEnd w:id="0"/>
      <w:r w:rsidRPr="00AA6CA1">
        <w:t>Choosing a new direction - Addressing the drug poisoning crisis in Ontario</w:t>
      </w:r>
    </w:p>
    <w:p w:rsidR="00327E90" w:rsidRPr="00AA6CA1" w:rsidRDefault="00327E90" w:rsidP="00AA6CA1">
      <w:pPr>
        <w:pStyle w:val="Heading2"/>
      </w:pPr>
      <w:r w:rsidRPr="00AA6CA1">
        <w:t xml:space="preserve">Current federal and provincial drug policies have contributed </w:t>
      </w:r>
      <w:proofErr w:type="gramStart"/>
      <w:r w:rsidRPr="00AA6CA1">
        <w:t>to</w:t>
      </w:r>
      <w:proofErr w:type="gramEnd"/>
      <w:r w:rsidRPr="00AA6CA1">
        <w:t xml:space="preserve">: </w:t>
      </w:r>
    </w:p>
    <w:p w:rsidR="00995CF3" w:rsidRPr="00327E90" w:rsidRDefault="00886E15" w:rsidP="00327E90">
      <w:pPr>
        <w:numPr>
          <w:ilvl w:val="0"/>
          <w:numId w:val="1"/>
        </w:numPr>
      </w:pPr>
      <w:r w:rsidRPr="00327E90">
        <w:t xml:space="preserve">disturbingly high rates of fatal drug poisonings </w:t>
      </w:r>
    </w:p>
    <w:p w:rsidR="00995CF3" w:rsidRPr="00327E90" w:rsidRDefault="00886E15" w:rsidP="00327E90">
      <w:pPr>
        <w:numPr>
          <w:ilvl w:val="0"/>
          <w:numId w:val="1"/>
        </w:numPr>
      </w:pPr>
      <w:r w:rsidRPr="00327E90">
        <w:t>unprecedented demand on Emergency Medical Services (EMS) and Emergency Departments (EDs) that are already working over capacity</w:t>
      </w:r>
    </w:p>
    <w:p w:rsidR="00995CF3" w:rsidRPr="00327E90" w:rsidRDefault="00886E15" w:rsidP="00327E90">
      <w:pPr>
        <w:numPr>
          <w:ilvl w:val="0"/>
          <w:numId w:val="1"/>
        </w:numPr>
      </w:pPr>
      <w:r w:rsidRPr="00327E90">
        <w:t xml:space="preserve">insufficient health care funding to provide appropriate and timely services to people who use substances </w:t>
      </w:r>
    </w:p>
    <w:p w:rsidR="00995CF3" w:rsidRPr="00327E90" w:rsidRDefault="00886E15" w:rsidP="00327E90">
      <w:pPr>
        <w:numPr>
          <w:ilvl w:val="0"/>
          <w:numId w:val="1"/>
        </w:numPr>
      </w:pPr>
      <w:proofErr w:type="gramStart"/>
      <w:r w:rsidRPr="00327E90">
        <w:t>unsustainable</w:t>
      </w:r>
      <w:proofErr w:type="gramEnd"/>
      <w:r w:rsidRPr="00327E90">
        <w:t xml:space="preserve"> demand on municipal budgets facing increasing policing and EMS costs for substance-related calls for service.</w:t>
      </w:r>
    </w:p>
    <w:p w:rsidR="00327E90" w:rsidRDefault="00327E90" w:rsidP="00AA6CA1">
      <w:pPr>
        <w:pStyle w:val="Heading2"/>
      </w:pPr>
      <w:r w:rsidRPr="00327E90">
        <w:t>What are the costs of continuing with the current approach to drug policy?</w:t>
      </w:r>
    </w:p>
    <w:p w:rsidR="00327E90" w:rsidRPr="00327E90" w:rsidRDefault="00327E90" w:rsidP="00AA6CA1">
      <w:pPr>
        <w:pStyle w:val="Heading3"/>
      </w:pPr>
      <w:r>
        <w:t>Human costs</w:t>
      </w:r>
    </w:p>
    <w:p w:rsidR="00327E90" w:rsidRPr="00327E90" w:rsidRDefault="00327E90" w:rsidP="00327E90">
      <w:r w:rsidRPr="00327E90">
        <w:t xml:space="preserve">In 2021, an average of </w:t>
      </w:r>
      <w:proofErr w:type="gramStart"/>
      <w:r w:rsidRPr="00327E90">
        <w:rPr>
          <w:b/>
          <w:bCs/>
        </w:rPr>
        <w:t>8</w:t>
      </w:r>
      <w:proofErr w:type="gramEnd"/>
      <w:r w:rsidRPr="00327E90">
        <w:rPr>
          <w:b/>
          <w:bCs/>
        </w:rPr>
        <w:t xml:space="preserve"> people per day died</w:t>
      </w:r>
      <w:r>
        <w:t xml:space="preserve"> </w:t>
      </w:r>
      <w:r w:rsidRPr="00327E90">
        <w:rPr>
          <w:b/>
          <w:bCs/>
        </w:rPr>
        <w:t>from opioid overdose in Ontario</w:t>
      </w:r>
      <w:r w:rsidRPr="00327E90">
        <w:rPr>
          <w:b/>
          <w:bCs/>
          <w:vertAlign w:val="superscript"/>
        </w:rPr>
        <w:t>1</w:t>
      </w:r>
      <w:r w:rsidRPr="00327E90">
        <w:rPr>
          <w:b/>
          <w:bCs/>
        </w:rPr>
        <w:t>. In Canada, this rate is 21 people per day</w:t>
      </w:r>
      <w:r w:rsidRPr="00327E90">
        <w:rPr>
          <w:b/>
          <w:bCs/>
          <w:vertAlign w:val="superscript"/>
        </w:rPr>
        <w:t>2</w:t>
      </w:r>
      <w:r w:rsidRPr="00327E90">
        <w:rPr>
          <w:b/>
          <w:bCs/>
        </w:rPr>
        <w:t>.</w:t>
      </w:r>
    </w:p>
    <w:p w:rsidR="00327E90" w:rsidRDefault="00327E90" w:rsidP="00327E90">
      <w:r w:rsidRPr="00327E90">
        <w:rPr>
          <w:noProof/>
        </w:rPr>
        <mc:AlternateContent>
          <mc:Choice Requires="wps">
            <w:drawing>
              <wp:anchor distT="0" distB="0" distL="114300" distR="114300" simplePos="0" relativeHeight="251659264" behindDoc="0" locked="0" layoutInCell="1" allowOverlap="1" wp14:anchorId="788A3534" wp14:editId="69280BDE">
                <wp:simplePos x="0" y="0"/>
                <wp:positionH relativeFrom="column">
                  <wp:posOffset>-106325</wp:posOffset>
                </wp:positionH>
                <wp:positionV relativeFrom="paragraph">
                  <wp:posOffset>147955</wp:posOffset>
                </wp:positionV>
                <wp:extent cx="3902149" cy="645795"/>
                <wp:effectExtent l="0" t="0" r="0" b="0"/>
                <wp:wrapNone/>
                <wp:docPr id="38" name="Rectangle 37"/>
                <wp:cNvGraphicFramePr/>
                <a:graphic xmlns:a="http://schemas.openxmlformats.org/drawingml/2006/main">
                  <a:graphicData uri="http://schemas.microsoft.com/office/word/2010/wordprocessingShape">
                    <wps:wsp>
                      <wps:cNvSpPr/>
                      <wps:spPr>
                        <a:xfrm>
                          <a:off x="0" y="0"/>
                          <a:ext cx="3902149" cy="645795"/>
                        </a:xfrm>
                        <a:prstGeom prst="rect">
                          <a:avLst/>
                        </a:prstGeom>
                      </wps:spPr>
                      <wps:txbx>
                        <w:txbxContent>
                          <w:p w:rsidR="00327E90" w:rsidRPr="00327E90" w:rsidRDefault="00327E90" w:rsidP="00327E90">
                            <w:pPr>
                              <w:pStyle w:val="NormalWeb"/>
                              <w:spacing w:before="120" w:beforeAutospacing="0" w:after="0" w:afterAutospacing="0"/>
                              <w:rPr>
                                <w:sz w:val="20"/>
                                <w:szCs w:val="20"/>
                              </w:rPr>
                            </w:pPr>
                            <w:r w:rsidRPr="00327E90">
                              <w:rPr>
                                <w:rFonts w:asciiTheme="minorHAnsi" w:hAnsi="Calibri" w:cstheme="minorBidi"/>
                                <w:b/>
                                <w:bCs/>
                                <w:color w:val="000000" w:themeColor="text1"/>
                                <w:kern w:val="24"/>
                                <w:sz w:val="20"/>
                                <w:szCs w:val="20"/>
                              </w:rPr>
                              <w:t>Total number of opioid-related deaths in Ontario 2016–2021</w:t>
                            </w:r>
                            <w:r w:rsidRPr="00327E90">
                              <w:rPr>
                                <w:rFonts w:asciiTheme="minorHAnsi" w:hAnsi="Calibri" w:cstheme="minorBidi"/>
                                <w:b/>
                                <w:bCs/>
                                <w:color w:val="920000"/>
                                <w:kern w:val="24"/>
                                <w:position w:val="7"/>
                                <w:sz w:val="20"/>
                                <w:szCs w:val="20"/>
                                <w:vertAlign w:val="superscript"/>
                              </w:rPr>
                              <w:t>1</w:t>
                            </w:r>
                          </w:p>
                        </w:txbxContent>
                      </wps:txbx>
                      <wps:bodyPr wrap="square">
                        <a:spAutoFit/>
                      </wps:bodyPr>
                    </wps:wsp>
                  </a:graphicData>
                </a:graphic>
                <wp14:sizeRelH relativeFrom="margin">
                  <wp14:pctWidth>0</wp14:pctWidth>
                </wp14:sizeRelH>
              </wp:anchor>
            </w:drawing>
          </mc:Choice>
          <mc:Fallback>
            <w:pict>
              <v:rect w14:anchorId="788A3534" id="Rectangle 37" o:spid="_x0000_s1026" style="position:absolute;margin-left:-8.35pt;margin-top:11.65pt;width:307.25pt;height:5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SmhwEAAPECAAAOAAAAZHJzL2Uyb0RvYy54bWysUtuOEzEMfUfiH6K805m2e6GjTldIq+UF&#10;wYqFD3AzSSfS5IKddqZ/j5MOXQRviBcnju1jn+NsHyY3iJNGssG3crmopdBehc76Qyu/f3t6914K&#10;SuA7GILXrTxrkg+7t2+2Y2z0KvRh6DQKBvHUjLGVfUqxqSpSvXZAixC156AJ6CCxi4eqQxgZ3Q3V&#10;qq7vqjFgFzEoTcSvj5eg3BV8Y7RKX4whncTQSp4tFYvF7rOtdltoDgixt2oeA/5hCgfWc9Mr1CMk&#10;EEe0f0E5qzBQMGmhgquCMVbpwoHZLOs/2Lz0EHXhwuJQvMpE/w9WfT49o7BdK9e8KQ+Od/SVVQN/&#10;GLRY32eBxkgN573EZ5w94mtmOxl0+WQeYiqinq+i6ikJxY/rTb1a3mykUBy7u7m939xm0Oq1OiKl&#10;jzo4kS+tRG5ftITTJ0qX1F8pXJenufTPtzTtp3mofejOzGXkZbaSfhwBs3bAyR+OKTzZApVrLokz&#10;FOtahpn/QF7c737Jev2pu58AAAD//wMAUEsDBBQABgAIAAAAIQDIzN8B4AAAAAoBAAAPAAAAZHJz&#10;L2Rvd25yZXYueG1sTI9BTsMwEEX3SNzBGiQ2qHWa0oSGOBUqIJXuCD2AEw9JaDyOYrcNt2dYwXI0&#10;T/+/n28m24szjr5zpGAxj0Ag1c501Cg4fLzOHkD4oMno3hEq+EYPm+L6KteZcRd6x3MZGsEh5DOt&#10;oA1hyKT0dYtW+7kbkPj36UarA59jI82oLxxuexlHUSKt7ogbWj3gtsX6WJ6sgrf9/f6w3cmv47p7&#10;vtulZSSr5EWp25vp6RFEwCn8wfCrz+pQsFPlTmS86BXMFknKqIJ4uQTBwGqd8paKyXgVgSxy+X9C&#10;8QMAAP//AwBQSwECLQAUAAYACAAAACEAtoM4kv4AAADhAQAAEwAAAAAAAAAAAAAAAAAAAAAAW0Nv&#10;bnRlbnRfVHlwZXNdLnhtbFBLAQItABQABgAIAAAAIQA4/SH/1gAAAJQBAAALAAAAAAAAAAAAAAAA&#10;AC8BAABfcmVscy8ucmVsc1BLAQItABQABgAIAAAAIQDb8ESmhwEAAPECAAAOAAAAAAAAAAAAAAAA&#10;AC4CAABkcnMvZTJvRG9jLnhtbFBLAQItABQABgAIAAAAIQDIzN8B4AAAAAoBAAAPAAAAAAAAAAAA&#10;AAAAAOEDAABkcnMvZG93bnJldi54bWxQSwUGAAAAAAQABADzAAAA7gQAAAAA&#10;" filled="f" stroked="f">
                <v:textbox style="mso-fit-shape-to-text:t">
                  <w:txbxContent>
                    <w:p w:rsidR="00327E90" w:rsidRPr="00327E90" w:rsidRDefault="00327E90" w:rsidP="00327E90">
                      <w:pPr>
                        <w:pStyle w:val="NormalWeb"/>
                        <w:spacing w:before="120" w:beforeAutospacing="0" w:after="0" w:afterAutospacing="0"/>
                        <w:rPr>
                          <w:sz w:val="20"/>
                          <w:szCs w:val="20"/>
                        </w:rPr>
                      </w:pPr>
                      <w:r w:rsidRPr="00327E90">
                        <w:rPr>
                          <w:rFonts w:asciiTheme="minorHAnsi" w:hAnsi="Calibri" w:cstheme="minorBidi"/>
                          <w:b/>
                          <w:bCs/>
                          <w:color w:val="000000" w:themeColor="text1"/>
                          <w:kern w:val="24"/>
                          <w:sz w:val="20"/>
                          <w:szCs w:val="20"/>
                        </w:rPr>
                        <w:t>Total number of opioid-related deaths in Ontario 2016–2021</w:t>
                      </w:r>
                      <w:r w:rsidRPr="00327E90">
                        <w:rPr>
                          <w:rFonts w:asciiTheme="minorHAnsi" w:hAnsi="Calibri" w:cstheme="minorBidi"/>
                          <w:b/>
                          <w:bCs/>
                          <w:color w:val="920000"/>
                          <w:kern w:val="24"/>
                          <w:position w:val="7"/>
                          <w:sz w:val="20"/>
                          <w:szCs w:val="20"/>
                          <w:vertAlign w:val="superscript"/>
                        </w:rPr>
                        <w:t>1</w:t>
                      </w:r>
                    </w:p>
                  </w:txbxContent>
                </v:textbox>
              </v:rect>
            </w:pict>
          </mc:Fallback>
        </mc:AlternateContent>
      </w:r>
      <w:r w:rsidRPr="00327E90">
        <w:t xml:space="preserve">The death toll in Ontario increased by 232% from 2016–2021, with higher rates of death in the North. </w:t>
      </w:r>
    </w:p>
    <w:p w:rsidR="00327E90" w:rsidRPr="00327E90" w:rsidRDefault="00327E90" w:rsidP="00327E90"/>
    <w:p w:rsidR="00327E90" w:rsidRDefault="00327E90" w:rsidP="00327E90">
      <w:r w:rsidRPr="00327E90">
        <w:rPr>
          <w:noProof/>
        </w:rPr>
        <w:drawing>
          <wp:inline distT="0" distB="0" distL="0" distR="0" wp14:anchorId="6CC6EAB7" wp14:editId="4CD49A89">
            <wp:extent cx="2846615" cy="2025657"/>
            <wp:effectExtent l="0" t="0" r="1143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7E90" w:rsidRDefault="00327E90" w:rsidP="00AA6CA1">
      <w:pPr>
        <w:pStyle w:val="Heading3"/>
      </w:pPr>
      <w:r>
        <w:t>Societal costs</w:t>
      </w:r>
    </w:p>
    <w:p w:rsidR="00327E90" w:rsidRDefault="00327E90" w:rsidP="00327E90">
      <w:pPr>
        <w:rPr>
          <w:b/>
        </w:rPr>
      </w:pPr>
      <w:r>
        <w:rPr>
          <w:b/>
        </w:rPr>
        <w:t xml:space="preserve">Costs associated with substance use in Ontario, 2017: Over $4.6 billion. </w:t>
      </w:r>
    </w:p>
    <w:p w:rsidR="00327E90" w:rsidRPr="00327E90" w:rsidRDefault="00327E90" w:rsidP="00327E90">
      <w:r w:rsidRPr="00327E90">
        <w:t xml:space="preserve">This includes opioids, other Central Nervous System (CNS) depressants, cocaine, other CNS stimulants, and other substances </w:t>
      </w:r>
      <w:r w:rsidRPr="00327E90">
        <w:rPr>
          <w:i/>
          <w:iCs/>
        </w:rPr>
        <w:t>excluding</w:t>
      </w:r>
      <w:r w:rsidRPr="00327E90">
        <w:t xml:space="preserve"> alcohol, tobacco, cannabis.</w:t>
      </w:r>
    </w:p>
    <w:p w:rsidR="00327E90" w:rsidRPr="00327E90" w:rsidRDefault="00327E90" w:rsidP="00327E90">
      <w:r w:rsidRPr="00327E90">
        <w:rPr>
          <w:bCs/>
        </w:rPr>
        <w:t>Healthcare</w:t>
      </w:r>
      <w:r w:rsidRPr="00327E90">
        <w:t xml:space="preserve"> costs include inpatient hospitalizations, day surgeries, ED visits, specialized treatment events, physician time and prescription drugs. </w:t>
      </w:r>
    </w:p>
    <w:p w:rsidR="00327E90" w:rsidRPr="00327E90" w:rsidRDefault="00327E90" w:rsidP="00327E90">
      <w:r w:rsidRPr="00327E90">
        <w:rPr>
          <w:bCs/>
        </w:rPr>
        <w:lastRenderedPageBreak/>
        <w:t xml:space="preserve">Lost productivity </w:t>
      </w:r>
      <w:r w:rsidRPr="00327E90">
        <w:t>costs include potential years of productive life lost, long-term and short-term disability.</w:t>
      </w:r>
    </w:p>
    <w:p w:rsidR="00327E90" w:rsidRDefault="00327E90" w:rsidP="00327E90">
      <w:r w:rsidRPr="00327E90">
        <w:rPr>
          <w:bCs/>
        </w:rPr>
        <w:t xml:space="preserve">Criminal justice </w:t>
      </w:r>
      <w:r w:rsidRPr="00327E90">
        <w:t>costs include policing, courts and corrections.</w:t>
      </w:r>
    </w:p>
    <w:p w:rsidR="0095527D" w:rsidRDefault="0095527D" w:rsidP="00327E90">
      <w:pPr>
        <w:rPr>
          <w:b/>
        </w:rPr>
      </w:pPr>
      <w:r w:rsidRPr="0095527D">
        <w:rPr>
          <w:b/>
        </w:rPr>
        <w:t>Opioid-related ED visits in Ontario</w:t>
      </w:r>
    </w:p>
    <w:p w:rsidR="0095527D" w:rsidRDefault="0095527D" w:rsidP="00327E90">
      <w:pPr>
        <w:rPr>
          <w:b/>
        </w:rPr>
      </w:pPr>
      <w:r w:rsidRPr="0095527D">
        <w:rPr>
          <w:b/>
          <w:noProof/>
        </w:rPr>
        <w:drawing>
          <wp:inline distT="0" distB="0" distL="0" distR="0" wp14:anchorId="07BD1427" wp14:editId="49BC931A">
            <wp:extent cx="2156582" cy="2041962"/>
            <wp:effectExtent l="0" t="0" r="1524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527D" w:rsidRDefault="0095527D" w:rsidP="00327E90">
      <w:pPr>
        <w:rPr>
          <w:b/>
        </w:rPr>
      </w:pPr>
      <w:r>
        <w:rPr>
          <w:b/>
        </w:rPr>
        <w:t>Number of EMS responses to suspected opioid-related overdoses in Ontario</w:t>
      </w:r>
    </w:p>
    <w:p w:rsidR="0095527D" w:rsidRDefault="0095527D" w:rsidP="00327E90">
      <w:pPr>
        <w:rPr>
          <w:b/>
        </w:rPr>
      </w:pPr>
      <w:r w:rsidRPr="0095527D">
        <w:rPr>
          <w:b/>
          <w:noProof/>
        </w:rPr>
        <w:drawing>
          <wp:inline distT="0" distB="0" distL="0" distR="0" wp14:anchorId="644A6774" wp14:editId="7B48501B">
            <wp:extent cx="2247797" cy="1885082"/>
            <wp:effectExtent l="0" t="0" r="63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527D" w:rsidRDefault="0095527D" w:rsidP="00AA6CA1">
      <w:pPr>
        <w:pStyle w:val="Heading2"/>
      </w:pPr>
      <w:r>
        <w:t>Additional harms resulting from current drug policies</w:t>
      </w:r>
    </w:p>
    <w:p w:rsidR="0095527D" w:rsidRDefault="0095527D" w:rsidP="0095527D">
      <w:pPr>
        <w:pStyle w:val="ListParagraph"/>
        <w:numPr>
          <w:ilvl w:val="0"/>
          <w:numId w:val="2"/>
        </w:numPr>
      </w:pPr>
      <w:r w:rsidRPr="0095527D">
        <w:t>an active unregulated market for illicit drugs which generates profit for criminal organizations</w:t>
      </w:r>
    </w:p>
    <w:p w:rsidR="0095527D" w:rsidRPr="0095527D" w:rsidRDefault="0095527D" w:rsidP="0095527D">
      <w:pPr>
        <w:pStyle w:val="ListParagraph"/>
        <w:numPr>
          <w:ilvl w:val="0"/>
          <w:numId w:val="2"/>
        </w:numPr>
      </w:pPr>
      <w:r w:rsidRPr="0095527D">
        <w:t>burnout, moral injury and secondary trauma for health and social service providers, further depleting the limited supply of healthcare providers in Ontario</w:t>
      </w:r>
    </w:p>
    <w:p w:rsidR="0095527D" w:rsidRPr="0095527D" w:rsidRDefault="0095527D" w:rsidP="0095527D">
      <w:pPr>
        <w:pStyle w:val="ListParagraph"/>
        <w:numPr>
          <w:ilvl w:val="0"/>
          <w:numId w:val="2"/>
        </w:numPr>
      </w:pPr>
      <w:r w:rsidRPr="0095527D">
        <w:t xml:space="preserve">immeasurable loss of human potential and disintegration of family and community, driving an ongoing cycle of grief and trauma  </w:t>
      </w:r>
    </w:p>
    <w:p w:rsidR="0095527D" w:rsidRDefault="0095527D" w:rsidP="00AA6CA1">
      <w:pPr>
        <w:pStyle w:val="Heading2"/>
      </w:pPr>
      <w:r>
        <w:t xml:space="preserve">What actions need to be taken to address the </w:t>
      </w:r>
      <w:proofErr w:type="gramStart"/>
      <w:r>
        <w:t>drug poisoning</w:t>
      </w:r>
      <w:proofErr w:type="gramEnd"/>
      <w:r>
        <w:t xml:space="preserve"> crisis?</w:t>
      </w:r>
    </w:p>
    <w:p w:rsidR="0095527D" w:rsidRPr="0095527D" w:rsidRDefault="0095527D" w:rsidP="00AA6CA1">
      <w:pPr>
        <w:spacing w:before="240"/>
      </w:pPr>
      <w:r w:rsidRPr="0095527D">
        <w:t xml:space="preserve">Drug policy reform at the federal and provincial levels is a key necessary intervention to end the </w:t>
      </w:r>
      <w:proofErr w:type="gramStart"/>
      <w:r w:rsidRPr="0095527D">
        <w:t>drug poisoning</w:t>
      </w:r>
      <w:proofErr w:type="gramEnd"/>
      <w:r w:rsidRPr="0095527D">
        <w:t xml:space="preserve"> crisis. </w:t>
      </w:r>
    </w:p>
    <w:p w:rsidR="0095527D" w:rsidRDefault="0095527D" w:rsidP="0095527D">
      <w:r w:rsidRPr="0095527D">
        <w:t xml:space="preserve">Health Canada’s Expert Task Force on Substance Use recommends the development of a single public health framework with specific regulations for all psychoactive substances, including currently illegal drugs as well as alcohol, tobacco and cannabis. This framework should aim to minimize the scale of the </w:t>
      </w:r>
      <w:r w:rsidRPr="0095527D">
        <w:lastRenderedPageBreak/>
        <w:t>illegal market, bring stability and predictability to regulated markets for substances, and provide access to safer substances for those at risk of injury or death</w:t>
      </w:r>
      <w:r>
        <w:t xml:space="preserve"> from toxic illegal substances.</w:t>
      </w:r>
    </w:p>
    <w:p w:rsidR="0095527D" w:rsidRPr="0095527D" w:rsidRDefault="0095527D" w:rsidP="0095527D">
      <w:r w:rsidRPr="0095527D">
        <w:rPr>
          <w:b/>
          <w:bCs/>
        </w:rPr>
        <w:t>Until such an umbrella drug policy framework is established, the following activities are suggested to reduce costs and harms:</w:t>
      </w:r>
    </w:p>
    <w:p w:rsidR="0095527D" w:rsidRDefault="0095527D" w:rsidP="0095527D">
      <w:pPr>
        <w:pStyle w:val="ListParagraph"/>
        <w:numPr>
          <w:ilvl w:val="0"/>
          <w:numId w:val="3"/>
        </w:numPr>
      </w:pPr>
      <w:r w:rsidRPr="0095527D">
        <w:t>ensure access to pharmaceutical-grade opioids, obtained within a model of care that includes medical and psychosocial supports, is available for people with opioid dependencies</w:t>
      </w:r>
    </w:p>
    <w:p w:rsidR="0095527D" w:rsidRPr="0095527D" w:rsidRDefault="0095527D" w:rsidP="0095527D">
      <w:pPr>
        <w:pStyle w:val="ListParagraph"/>
        <w:numPr>
          <w:ilvl w:val="0"/>
          <w:numId w:val="3"/>
        </w:numPr>
      </w:pPr>
      <w:r w:rsidRPr="0095527D">
        <w:t>offer a range of evidence-informed treatment and harm reduction services</w:t>
      </w:r>
      <w:r w:rsidRPr="0095527D">
        <w:rPr>
          <w:vertAlign w:val="superscript"/>
        </w:rPr>
        <w:t xml:space="preserve">4,5,6 </w:t>
      </w:r>
      <w:r w:rsidRPr="0095527D">
        <w:t xml:space="preserve">that are responsive to the identified need in each community, including services to reduce drug poisoning fatalities, such as consumption and treatment sites to oversee safe injection and inhalation, and drug checking services </w:t>
      </w:r>
    </w:p>
    <w:p w:rsidR="0095527D" w:rsidRPr="0095527D" w:rsidRDefault="0095527D" w:rsidP="0095527D">
      <w:pPr>
        <w:pStyle w:val="ListParagraph"/>
        <w:numPr>
          <w:ilvl w:val="0"/>
          <w:numId w:val="3"/>
        </w:numPr>
      </w:pPr>
      <w:r w:rsidRPr="0095527D">
        <w:t>ensure that people who use drugs are meaningfully included and engaged in all decisions on proposed solutions</w:t>
      </w:r>
      <w:r w:rsidRPr="0095527D">
        <w:rPr>
          <w:vertAlign w:val="superscript"/>
        </w:rPr>
        <w:t>6</w:t>
      </w:r>
    </w:p>
    <w:p w:rsidR="0095527D" w:rsidRPr="0095527D" w:rsidRDefault="0095527D" w:rsidP="0095527D">
      <w:pPr>
        <w:pStyle w:val="ListParagraph"/>
        <w:numPr>
          <w:ilvl w:val="0"/>
          <w:numId w:val="3"/>
        </w:numPr>
      </w:pPr>
      <w:r w:rsidRPr="0095527D">
        <w:t>engage in efforts to eliminate the systemic stigma that discourages people who use drugs from seeking and accessing health services</w:t>
      </w:r>
      <w:r w:rsidRPr="0095527D">
        <w:rPr>
          <w:vertAlign w:val="superscript"/>
        </w:rPr>
        <w:t>4,7</w:t>
      </w:r>
    </w:p>
    <w:p w:rsidR="0095527D" w:rsidRDefault="0095527D" w:rsidP="0095527D">
      <w:pPr>
        <w:pStyle w:val="ListParagraph"/>
        <w:numPr>
          <w:ilvl w:val="0"/>
          <w:numId w:val="3"/>
        </w:numPr>
      </w:pPr>
      <w:r w:rsidRPr="0095527D">
        <w:t>maximize investments in prevention and early intervention services that provide foundational support for the health, safety and wellbeing of individuals, families and communities</w:t>
      </w:r>
      <w:r w:rsidRPr="0095527D">
        <w:rPr>
          <w:vertAlign w:val="superscript"/>
        </w:rPr>
        <w:t>4</w:t>
      </w:r>
      <w:r w:rsidRPr="0095527D">
        <w:t xml:space="preserve"> (e.g., housing, basic income, employment, childcare, food security, education, other services designed to address the social determinants of health)</w:t>
      </w:r>
    </w:p>
    <w:p w:rsidR="0095527D" w:rsidRDefault="0095527D" w:rsidP="00AA6CA1">
      <w:pPr>
        <w:pStyle w:val="Heading3"/>
      </w:pPr>
      <w:r>
        <w:t xml:space="preserve">References: </w:t>
      </w:r>
    </w:p>
    <w:p w:rsidR="00995CF3" w:rsidRPr="0095527D" w:rsidRDefault="00886E15" w:rsidP="0095527D">
      <w:pPr>
        <w:numPr>
          <w:ilvl w:val="0"/>
          <w:numId w:val="4"/>
        </w:numPr>
      </w:pPr>
      <w:r w:rsidRPr="0095527D">
        <w:t xml:space="preserve">Public Health Ontario Interactive Opioid Tool. </w:t>
      </w:r>
      <w:r w:rsidRPr="0095527D">
        <w:rPr>
          <w:i/>
          <w:iCs/>
        </w:rPr>
        <w:t>Cases of opioid-related morbidity and mortality.</w:t>
      </w:r>
      <w:r w:rsidRPr="0095527D">
        <w:t xml:space="preserve"> Available: </w:t>
      </w:r>
      <w:hyperlink r:id="rId10" w:history="1">
        <w:r w:rsidRPr="0095527D">
          <w:rPr>
            <w:rStyle w:val="Hyperlink"/>
          </w:rPr>
          <w:t>https</w:t>
        </w:r>
      </w:hyperlink>
      <w:hyperlink r:id="rId11" w:history="1">
        <w:proofErr w:type="gramStart"/>
        <w:r w:rsidRPr="0095527D">
          <w:rPr>
            <w:rStyle w:val="Hyperlink"/>
          </w:rPr>
          <w:t>:/</w:t>
        </w:r>
        <w:proofErr w:type="gramEnd"/>
        <w:r w:rsidRPr="0095527D">
          <w:rPr>
            <w:rStyle w:val="Hyperlink"/>
          </w:rPr>
          <w:t>/</w:t>
        </w:r>
      </w:hyperlink>
      <w:hyperlink r:id="rId12" w:history="1">
        <w:r w:rsidRPr="0095527D">
          <w:rPr>
            <w:rStyle w:val="Hyperlink"/>
          </w:rPr>
          <w:t>www.publichealthontario.ca/en/data-and-analysis/substance-use/interactive-opioid-tool</w:t>
        </w:r>
      </w:hyperlink>
      <w:r w:rsidRPr="0095527D">
        <w:t xml:space="preserve"> . Accessed </w:t>
      </w:r>
      <w:proofErr w:type="gramStart"/>
      <w:r w:rsidRPr="0095527D">
        <w:t>December  2022</w:t>
      </w:r>
      <w:proofErr w:type="gramEnd"/>
      <w:r w:rsidRPr="0095527D">
        <w:t xml:space="preserve">.    </w:t>
      </w:r>
    </w:p>
    <w:p w:rsidR="00995CF3" w:rsidRPr="0095527D" w:rsidRDefault="00886E15" w:rsidP="0095527D">
      <w:pPr>
        <w:numPr>
          <w:ilvl w:val="0"/>
          <w:numId w:val="4"/>
        </w:numPr>
      </w:pPr>
      <w:r w:rsidRPr="0095527D">
        <w:t xml:space="preserve">Special Advisory Committee on the Epidemic of Opioid Overdoses – Public Health Agency of Canada. 2022. </w:t>
      </w:r>
      <w:r w:rsidRPr="0095527D">
        <w:rPr>
          <w:i/>
          <w:iCs/>
        </w:rPr>
        <w:t>Opioid- and Stimulant-related Harms in Canada</w:t>
      </w:r>
      <w:r w:rsidRPr="0095527D">
        <w:t xml:space="preserve">. Available: </w:t>
      </w:r>
      <w:hyperlink r:id="rId13" w:history="1">
        <w:r w:rsidRPr="0095527D">
          <w:rPr>
            <w:rStyle w:val="Hyperlink"/>
          </w:rPr>
          <w:t>https://health-infobase.canada.ca/substance-related-harms/opioids-stimulants/</w:t>
        </w:r>
      </w:hyperlink>
      <w:r w:rsidRPr="0095527D">
        <w:t xml:space="preserve">  Accessed December 2022.</w:t>
      </w:r>
    </w:p>
    <w:p w:rsidR="00995CF3" w:rsidRPr="0095527D" w:rsidRDefault="00886E15" w:rsidP="0095527D">
      <w:pPr>
        <w:numPr>
          <w:ilvl w:val="0"/>
          <w:numId w:val="4"/>
        </w:numPr>
      </w:pPr>
      <w:r w:rsidRPr="0095527D">
        <w:t xml:space="preserve">Canadian Substance Use Costs and Harms Project. </w:t>
      </w:r>
      <w:r w:rsidRPr="0095527D">
        <w:rPr>
          <w:i/>
          <w:iCs/>
        </w:rPr>
        <w:t xml:space="preserve">CSUCH Visualization Tool. </w:t>
      </w:r>
      <w:r w:rsidRPr="0095527D">
        <w:t xml:space="preserve">Available: </w:t>
      </w:r>
      <w:hyperlink r:id="rId14" w:history="1">
        <w:r w:rsidRPr="0095527D">
          <w:rPr>
            <w:rStyle w:val="Hyperlink"/>
          </w:rPr>
          <w:t>https://csuch.ca/explore-the-data</w:t>
        </w:r>
      </w:hyperlink>
      <w:hyperlink r:id="rId15" w:history="1">
        <w:r w:rsidRPr="0095527D">
          <w:rPr>
            <w:rStyle w:val="Hyperlink"/>
          </w:rPr>
          <w:t>/</w:t>
        </w:r>
      </w:hyperlink>
      <w:r w:rsidRPr="0095527D">
        <w:t>. Accessed December 2022.</w:t>
      </w:r>
    </w:p>
    <w:p w:rsidR="00995CF3" w:rsidRPr="0095527D" w:rsidRDefault="00886E15" w:rsidP="0095527D">
      <w:pPr>
        <w:numPr>
          <w:ilvl w:val="0"/>
          <w:numId w:val="4"/>
        </w:numPr>
      </w:pPr>
      <w:r w:rsidRPr="0095527D">
        <w:t xml:space="preserve">Drug Strategy Network of Ontario. 2022. </w:t>
      </w:r>
      <w:r w:rsidRPr="0095527D">
        <w:rPr>
          <w:i/>
          <w:iCs/>
        </w:rPr>
        <w:t xml:space="preserve">Solutions to End the Drug Poisoning Crisis in Ontario: Choosing a New Direction. </w:t>
      </w:r>
      <w:r w:rsidRPr="0095527D">
        <w:t xml:space="preserve">Available: </w:t>
      </w:r>
      <w:hyperlink r:id="rId16" w:history="1">
        <w:r w:rsidRPr="0095527D">
          <w:rPr>
            <w:rStyle w:val="Hyperlink"/>
          </w:rPr>
          <w:t>https://</w:t>
        </w:r>
      </w:hyperlink>
      <w:hyperlink r:id="rId17" w:history="1">
        <w:r w:rsidRPr="0095527D">
          <w:rPr>
            <w:rStyle w:val="Hyperlink"/>
          </w:rPr>
          <w:t>www.drugstrategy.ca/uploads/5/3/6/2/53627897/dsno_policy_solutions_final_2022-04-20_v2.pdf</w:t>
        </w:r>
      </w:hyperlink>
      <w:r w:rsidRPr="0095527D">
        <w:t xml:space="preserve">. Accessed December 2022.  </w:t>
      </w:r>
    </w:p>
    <w:p w:rsidR="00995CF3" w:rsidRPr="0095527D" w:rsidRDefault="00886E15" w:rsidP="0095527D">
      <w:pPr>
        <w:numPr>
          <w:ilvl w:val="0"/>
          <w:numId w:val="4"/>
        </w:numPr>
      </w:pPr>
      <w:r w:rsidRPr="0095527D">
        <w:t xml:space="preserve">Health Canada Expert Task Force on Substance Use. </w:t>
      </w:r>
      <w:r w:rsidRPr="0095527D">
        <w:rPr>
          <w:i/>
          <w:iCs/>
        </w:rPr>
        <w:t xml:space="preserve">Report 2: Recommendations on the federal government’s drug policy as articulated in a draft Canadian Drugs and Substances Strategy (CDSS). </w:t>
      </w:r>
      <w:r w:rsidRPr="0095527D">
        <w:t xml:space="preserve">2021. Available: </w:t>
      </w:r>
      <w:hyperlink r:id="rId18" w:history="1">
        <w:r w:rsidRPr="0095527D">
          <w:rPr>
            <w:rStyle w:val="Hyperlink"/>
          </w:rPr>
          <w:t>https://</w:t>
        </w:r>
      </w:hyperlink>
      <w:hyperlink r:id="rId19" w:history="1">
        <w:r w:rsidRPr="0095527D">
          <w:rPr>
            <w:rStyle w:val="Hyperlink"/>
          </w:rPr>
          <w:t>www.canada.ca/en/health-canada/corporate/about-health-canada/public-engagement/external-advisory-bodies/expert-task-force-substance-use/reports/report-2-2021.html#a7</w:t>
        </w:r>
      </w:hyperlink>
      <w:r w:rsidRPr="0095527D">
        <w:t xml:space="preserve">. Accessed December 2022. </w:t>
      </w:r>
    </w:p>
    <w:p w:rsidR="00995CF3" w:rsidRPr="0095527D" w:rsidRDefault="00886E15" w:rsidP="0095527D">
      <w:pPr>
        <w:numPr>
          <w:ilvl w:val="0"/>
          <w:numId w:val="4"/>
        </w:numPr>
      </w:pPr>
      <w:r w:rsidRPr="0095527D">
        <w:t xml:space="preserve">Centre for Addiction and Mental Health. 2021. </w:t>
      </w:r>
      <w:r w:rsidRPr="0095527D">
        <w:rPr>
          <w:i/>
          <w:iCs/>
        </w:rPr>
        <w:t xml:space="preserve">Statement on the decriminalization of substance use. Available: </w:t>
      </w:r>
      <w:hyperlink r:id="rId20" w:history="1">
        <w:r w:rsidRPr="0095527D">
          <w:rPr>
            <w:rStyle w:val="Hyperlink"/>
            <w:i/>
            <w:iCs/>
          </w:rPr>
          <w:t>https://</w:t>
        </w:r>
      </w:hyperlink>
      <w:hyperlink r:id="rId21" w:history="1">
        <w:r w:rsidRPr="0095527D">
          <w:rPr>
            <w:rStyle w:val="Hyperlink"/>
            <w:i/>
            <w:iCs/>
          </w:rPr>
          <w:t>www.camh.ca/en/driving-change/influencing-public-policy?query=statement+on+decriminalization</w:t>
        </w:r>
      </w:hyperlink>
      <w:r w:rsidRPr="0095527D">
        <w:rPr>
          <w:i/>
          <w:iCs/>
        </w:rPr>
        <w:t xml:space="preserve"> </w:t>
      </w:r>
      <w:r w:rsidRPr="0095527D">
        <w:t xml:space="preserve">Accessed December 2022. </w:t>
      </w:r>
    </w:p>
    <w:p w:rsidR="0095527D" w:rsidRDefault="00886E15" w:rsidP="0095527D">
      <w:pPr>
        <w:numPr>
          <w:ilvl w:val="0"/>
          <w:numId w:val="4"/>
        </w:numPr>
      </w:pPr>
      <w:r w:rsidRPr="0095527D">
        <w:lastRenderedPageBreak/>
        <w:t xml:space="preserve">Community Addictions Peer Support Association (CAPSA). </w:t>
      </w:r>
      <w:r w:rsidRPr="0095527D">
        <w:rPr>
          <w:i/>
          <w:iCs/>
        </w:rPr>
        <w:t xml:space="preserve">Understanding Substance Use Health: A Matter of Health Equity. 2021. </w:t>
      </w:r>
      <w:r w:rsidRPr="0095527D">
        <w:t xml:space="preserve">Available: </w:t>
      </w:r>
      <w:hyperlink r:id="rId22" w:history="1">
        <w:r w:rsidRPr="0095527D">
          <w:rPr>
            <w:rStyle w:val="Hyperlink"/>
          </w:rPr>
          <w:t>https://</w:t>
        </w:r>
      </w:hyperlink>
      <w:hyperlink r:id="rId23" w:history="1">
        <w:r w:rsidRPr="0095527D">
          <w:rPr>
            <w:rStyle w:val="Hyperlink"/>
          </w:rPr>
          <w:t>capsa.ca/wp-content/uploads/2022/10/CAPSA-Substance-Use-Health-EN-1.pdf</w:t>
        </w:r>
      </w:hyperlink>
      <w:r w:rsidRPr="0095527D">
        <w:t xml:space="preserve">  Accessed December 2022.  </w:t>
      </w:r>
    </w:p>
    <w:p w:rsidR="00AA6CA1" w:rsidRDefault="00AA6CA1" w:rsidP="00AA6CA1">
      <w:pPr>
        <w:pStyle w:val="Heading3"/>
      </w:pPr>
      <w:r>
        <w:t xml:space="preserve">Note: </w:t>
      </w:r>
    </w:p>
    <w:p w:rsidR="00AA6CA1" w:rsidRPr="00075CF1" w:rsidRDefault="00AA6CA1" w:rsidP="00AA6CA1">
      <w:proofErr w:type="gramStart"/>
      <w:r w:rsidRPr="003137A4">
        <w:t>This knowledge exchange activity is supported by Evidence Exchange Network (</w:t>
      </w:r>
      <w:proofErr w:type="spellStart"/>
      <w:r w:rsidRPr="003137A4">
        <w:t>EENet</w:t>
      </w:r>
      <w:proofErr w:type="spellEnd"/>
      <w:r w:rsidRPr="003137A4">
        <w:t>), which is part of the Provincial System Support Program at the Centre for Addiction and Mental Health - “CAMH”</w:t>
      </w:r>
      <w:proofErr w:type="gramEnd"/>
      <w:r w:rsidRPr="003137A4">
        <w:t xml:space="preserve">. </w:t>
      </w:r>
      <w:proofErr w:type="spellStart"/>
      <w:r w:rsidRPr="003137A4">
        <w:t>EENet</w:t>
      </w:r>
      <w:proofErr w:type="spellEnd"/>
      <w:r w:rsidRPr="003137A4">
        <w:t xml:space="preserve"> </w:t>
      </w:r>
      <w:proofErr w:type="gramStart"/>
      <w:r w:rsidRPr="003137A4">
        <w:t>has been made</w:t>
      </w:r>
      <w:proofErr w:type="gramEnd"/>
      <w:r w:rsidRPr="003137A4">
        <w:t xml:space="preserve"> possible through a financial contribution from Ontario Health (“OH”). The views expressed herein do not necessarily represent the views of either OH or of CAMH.</w:t>
      </w:r>
    </w:p>
    <w:p w:rsidR="00AA6CA1" w:rsidRPr="0095527D" w:rsidRDefault="00946D9F" w:rsidP="00AA6CA1">
      <w:r>
        <w:pict>
          <v:rect id="_x0000_i1025" style="width:0;height:1.5pt" o:hralign="center" o:hrstd="t" o:hr="t" fillcolor="#a0a0a0" stroked="f"/>
        </w:pict>
      </w:r>
    </w:p>
    <w:p w:rsidR="00327E90" w:rsidRDefault="00AA6CA1" w:rsidP="00AA6CA1">
      <w:pPr>
        <w:pStyle w:val="Heading1"/>
        <w:spacing w:after="240"/>
        <w:rPr>
          <w:b/>
        </w:rPr>
      </w:pPr>
      <w:proofErr w:type="spellStart"/>
      <w:r>
        <w:t>Une</w:t>
      </w:r>
      <w:proofErr w:type="spellEnd"/>
      <w:r>
        <w:t xml:space="preserve"> nouvelle orientation pour </w:t>
      </w:r>
      <w:r w:rsidRPr="00754901">
        <w:t xml:space="preserve">faire face à la </w:t>
      </w:r>
      <w:proofErr w:type="spellStart"/>
      <w:r w:rsidRPr="00754901">
        <w:t>crise</w:t>
      </w:r>
      <w:proofErr w:type="spellEnd"/>
      <w:r w:rsidRPr="00754901">
        <w:t xml:space="preserve"> des intoxications </w:t>
      </w:r>
      <w:r>
        <w:t xml:space="preserve">par substances </w:t>
      </w:r>
      <w:proofErr w:type="spellStart"/>
      <w:r>
        <w:t>psychoactives</w:t>
      </w:r>
      <w:proofErr w:type="spellEnd"/>
      <w:r w:rsidRPr="00754901">
        <w:t xml:space="preserve"> </w:t>
      </w:r>
      <w:proofErr w:type="spellStart"/>
      <w:r w:rsidRPr="00754901">
        <w:t>en</w:t>
      </w:r>
      <w:proofErr w:type="spellEnd"/>
      <w:r w:rsidRPr="00754901">
        <w:t xml:space="preserve"> Ontario</w:t>
      </w:r>
    </w:p>
    <w:p w:rsidR="00AA6CA1" w:rsidRPr="00C91C87" w:rsidRDefault="00AA6CA1" w:rsidP="00AA6CA1">
      <w:pPr>
        <w:pStyle w:val="Heading2"/>
      </w:pPr>
      <w:r w:rsidRPr="00253DD9">
        <w:t xml:space="preserve">Les </w:t>
      </w:r>
      <w:proofErr w:type="spellStart"/>
      <w:r w:rsidRPr="00C91C87">
        <w:t>politiques</w:t>
      </w:r>
      <w:proofErr w:type="spellEnd"/>
      <w:r w:rsidRPr="00C91C87">
        <w:t xml:space="preserve"> </w:t>
      </w:r>
      <w:proofErr w:type="spellStart"/>
      <w:r w:rsidRPr="00C91C87">
        <w:t>fédérale</w:t>
      </w:r>
      <w:proofErr w:type="spellEnd"/>
      <w:r w:rsidRPr="00C91C87">
        <w:t xml:space="preserve"> et </w:t>
      </w:r>
      <w:proofErr w:type="spellStart"/>
      <w:r w:rsidRPr="00C91C87">
        <w:t>provinciales</w:t>
      </w:r>
      <w:proofErr w:type="spellEnd"/>
      <w:r w:rsidRPr="00C91C87">
        <w:t xml:space="preserve"> </w:t>
      </w:r>
      <w:proofErr w:type="spellStart"/>
      <w:r w:rsidRPr="00C91C87">
        <w:t>en</w:t>
      </w:r>
      <w:proofErr w:type="spellEnd"/>
      <w:r w:rsidRPr="00C91C87">
        <w:t xml:space="preserve"> </w:t>
      </w:r>
      <w:proofErr w:type="spellStart"/>
      <w:r w:rsidRPr="00C91C87">
        <w:t>vigueur</w:t>
      </w:r>
      <w:proofErr w:type="spellEnd"/>
      <w:r w:rsidRPr="00C91C87">
        <w:t xml:space="preserve"> </w:t>
      </w:r>
      <w:proofErr w:type="spellStart"/>
      <w:r w:rsidRPr="00C91C87">
        <w:t>en</w:t>
      </w:r>
      <w:proofErr w:type="spellEnd"/>
      <w:r w:rsidRPr="00C91C87">
        <w:t xml:space="preserve"> </w:t>
      </w:r>
      <w:proofErr w:type="spellStart"/>
      <w:r w:rsidRPr="00C91C87">
        <w:t>matière</w:t>
      </w:r>
      <w:proofErr w:type="spellEnd"/>
      <w:r w:rsidRPr="00C91C87">
        <w:t xml:space="preserve"> de drogues </w:t>
      </w:r>
      <w:proofErr w:type="spellStart"/>
      <w:r w:rsidRPr="00C91C87">
        <w:t>ont</w:t>
      </w:r>
      <w:proofErr w:type="spellEnd"/>
      <w:r w:rsidRPr="00C91C87">
        <w:t xml:space="preserve"> </w:t>
      </w:r>
      <w:proofErr w:type="spellStart"/>
      <w:r>
        <w:t>contribu</w:t>
      </w:r>
      <w:r w:rsidRPr="00C91C87">
        <w:t>é</w:t>
      </w:r>
      <w:proofErr w:type="spellEnd"/>
      <w:r>
        <w:t xml:space="preserve"> </w:t>
      </w:r>
      <w:proofErr w:type="gramStart"/>
      <w:r>
        <w:t>à </w:t>
      </w:r>
      <w:r w:rsidRPr="00C91C87">
        <w:t>:</w:t>
      </w:r>
      <w:proofErr w:type="gramEnd"/>
    </w:p>
    <w:p w:rsidR="00AA6CA1" w:rsidRPr="00C91C87" w:rsidRDefault="00AA6CA1" w:rsidP="00AA6CA1">
      <w:pPr>
        <w:numPr>
          <w:ilvl w:val="0"/>
          <w:numId w:val="1"/>
        </w:numPr>
      </w:pPr>
      <w:r w:rsidRPr="00C91C87">
        <w:t xml:space="preserve">des </w:t>
      </w:r>
      <w:proofErr w:type="spellStart"/>
      <w:r w:rsidRPr="00C91C87">
        <w:t>taux</w:t>
      </w:r>
      <w:proofErr w:type="spellEnd"/>
      <w:r w:rsidRPr="00C91C87">
        <w:t xml:space="preserve"> </w:t>
      </w:r>
      <w:proofErr w:type="spellStart"/>
      <w:r w:rsidRPr="00C91C87">
        <w:t>inquiétants</w:t>
      </w:r>
      <w:proofErr w:type="spellEnd"/>
      <w:r w:rsidRPr="00C91C87">
        <w:t xml:space="preserve"> </w:t>
      </w:r>
      <w:proofErr w:type="spellStart"/>
      <w:r w:rsidRPr="00C91C87">
        <w:t>d</w:t>
      </w:r>
      <w:r>
        <w:t>’</w:t>
      </w:r>
      <w:r w:rsidRPr="00C91C87">
        <w:t>intoxications</w:t>
      </w:r>
      <w:proofErr w:type="spellEnd"/>
      <w:r w:rsidRPr="00C91C87">
        <w:t xml:space="preserve"> </w:t>
      </w:r>
      <w:proofErr w:type="spellStart"/>
      <w:r w:rsidRPr="00C91C87">
        <w:t>mortelles</w:t>
      </w:r>
      <w:proofErr w:type="spellEnd"/>
      <w:r>
        <w:t>;</w:t>
      </w:r>
    </w:p>
    <w:p w:rsidR="00AA6CA1" w:rsidRPr="000809B7" w:rsidRDefault="00AA6CA1" w:rsidP="00AA6CA1">
      <w:pPr>
        <w:numPr>
          <w:ilvl w:val="0"/>
          <w:numId w:val="1"/>
        </w:numPr>
      </w:pPr>
      <w:r w:rsidRPr="000809B7">
        <w:t xml:space="preserve">un engorgement sans </w:t>
      </w:r>
      <w:proofErr w:type="spellStart"/>
      <w:r w:rsidRPr="000809B7">
        <w:t>précédent</w:t>
      </w:r>
      <w:proofErr w:type="spellEnd"/>
      <w:r w:rsidRPr="000809B7">
        <w:t xml:space="preserve"> des services </w:t>
      </w:r>
      <w:proofErr w:type="spellStart"/>
      <w:r w:rsidRPr="000809B7">
        <w:t>médicaux</w:t>
      </w:r>
      <w:proofErr w:type="spellEnd"/>
      <w:r w:rsidRPr="000809B7">
        <w:t xml:space="preserve"> </w:t>
      </w:r>
      <w:proofErr w:type="spellStart"/>
      <w:r w:rsidRPr="000809B7">
        <w:t>d</w:t>
      </w:r>
      <w:r>
        <w:t>’</w:t>
      </w:r>
      <w:r w:rsidRPr="000809B7">
        <w:t>urgence</w:t>
      </w:r>
      <w:proofErr w:type="spellEnd"/>
      <w:r w:rsidRPr="000809B7">
        <w:t xml:space="preserve"> (SMU) et des services </w:t>
      </w:r>
      <w:proofErr w:type="spellStart"/>
      <w:r w:rsidRPr="000809B7">
        <w:t>d</w:t>
      </w:r>
      <w:r>
        <w:t>’</w:t>
      </w:r>
      <w:r w:rsidRPr="000809B7">
        <w:t>urgence</w:t>
      </w:r>
      <w:proofErr w:type="spellEnd"/>
      <w:r w:rsidRPr="000809B7">
        <w:t xml:space="preserve">, déjà </w:t>
      </w:r>
      <w:proofErr w:type="spellStart"/>
      <w:r>
        <w:t>débordés</w:t>
      </w:r>
      <w:proofErr w:type="spellEnd"/>
      <w:r w:rsidRPr="000809B7">
        <w:t>;</w:t>
      </w:r>
    </w:p>
    <w:p w:rsidR="00AA6CA1" w:rsidRPr="000809B7" w:rsidRDefault="00AA6CA1" w:rsidP="00AA6CA1">
      <w:pPr>
        <w:numPr>
          <w:ilvl w:val="0"/>
          <w:numId w:val="1"/>
        </w:numPr>
      </w:pPr>
      <w:proofErr w:type="spellStart"/>
      <w:r w:rsidRPr="000809B7">
        <w:t>un</w:t>
      </w:r>
      <w:r>
        <w:t>e</w:t>
      </w:r>
      <w:proofErr w:type="spellEnd"/>
      <w:r>
        <w:t xml:space="preserve"> </w:t>
      </w:r>
      <w:proofErr w:type="spellStart"/>
      <w:r>
        <w:t>insuffisance</w:t>
      </w:r>
      <w:proofErr w:type="spellEnd"/>
      <w:r>
        <w:t xml:space="preserve"> de</w:t>
      </w:r>
      <w:r w:rsidRPr="000809B7">
        <w:t xml:space="preserve"> </w:t>
      </w:r>
      <w:proofErr w:type="spellStart"/>
      <w:r w:rsidRPr="000809B7">
        <w:t>financement</w:t>
      </w:r>
      <w:proofErr w:type="spellEnd"/>
      <w:r w:rsidRPr="000809B7">
        <w:t xml:space="preserve"> pour la </w:t>
      </w:r>
      <w:proofErr w:type="spellStart"/>
      <w:r w:rsidRPr="000809B7">
        <w:t>prestation</w:t>
      </w:r>
      <w:proofErr w:type="spellEnd"/>
      <w:r w:rsidRPr="000809B7">
        <w:t xml:space="preserve"> de services </w:t>
      </w:r>
      <w:proofErr w:type="spellStart"/>
      <w:r w:rsidRPr="000809B7">
        <w:t>appropriés</w:t>
      </w:r>
      <w:proofErr w:type="spellEnd"/>
      <w:r w:rsidRPr="000809B7">
        <w:t xml:space="preserve"> et </w:t>
      </w:r>
      <w:proofErr w:type="spellStart"/>
      <w:r>
        <w:t>rapide</w:t>
      </w:r>
      <w:r w:rsidRPr="000809B7">
        <w:t>s</w:t>
      </w:r>
      <w:proofErr w:type="spellEnd"/>
      <w:r w:rsidRPr="000809B7">
        <w:t xml:space="preserve"> aux </w:t>
      </w:r>
      <w:proofErr w:type="spellStart"/>
      <w:r w:rsidRPr="000809B7">
        <w:t>personnes</w:t>
      </w:r>
      <w:proofErr w:type="spellEnd"/>
      <w:r w:rsidRPr="000809B7">
        <w:t xml:space="preserve"> qui </w:t>
      </w:r>
      <w:proofErr w:type="spellStart"/>
      <w:r w:rsidRPr="000809B7">
        <w:t>utilisent</w:t>
      </w:r>
      <w:proofErr w:type="spellEnd"/>
      <w:r w:rsidRPr="000809B7">
        <w:t xml:space="preserve"> des drogues;</w:t>
      </w:r>
    </w:p>
    <w:p w:rsidR="00AA6CA1" w:rsidRPr="00327E90" w:rsidRDefault="00AA6CA1" w:rsidP="00AA6CA1">
      <w:pPr>
        <w:numPr>
          <w:ilvl w:val="0"/>
          <w:numId w:val="1"/>
        </w:numPr>
      </w:pPr>
      <w:proofErr w:type="spellStart"/>
      <w:r w:rsidRPr="000809B7">
        <w:t>une</w:t>
      </w:r>
      <w:proofErr w:type="spellEnd"/>
      <w:r w:rsidRPr="000809B7">
        <w:t xml:space="preserve"> </w:t>
      </w:r>
      <w:proofErr w:type="spellStart"/>
      <w:r w:rsidRPr="000809B7">
        <w:t>pression</w:t>
      </w:r>
      <w:proofErr w:type="spellEnd"/>
      <w:r w:rsidRPr="000809B7">
        <w:t xml:space="preserve"> excessive sur les budgets des </w:t>
      </w:r>
      <w:proofErr w:type="spellStart"/>
      <w:r w:rsidRPr="000809B7">
        <w:t>municipalités</w:t>
      </w:r>
      <w:proofErr w:type="spellEnd"/>
      <w:r w:rsidRPr="000809B7">
        <w:t xml:space="preserve">, qui </w:t>
      </w:r>
      <w:proofErr w:type="spellStart"/>
      <w:r w:rsidRPr="000809B7">
        <w:t>doivent</w:t>
      </w:r>
      <w:proofErr w:type="spellEnd"/>
      <w:r w:rsidRPr="000809B7">
        <w:t xml:space="preserve"> faire face à </w:t>
      </w:r>
      <w:proofErr w:type="spellStart"/>
      <w:r w:rsidRPr="000809B7">
        <w:t>une</w:t>
      </w:r>
      <w:proofErr w:type="spellEnd"/>
      <w:r w:rsidRPr="000809B7">
        <w:t xml:space="preserve"> augmentation des </w:t>
      </w:r>
      <w:proofErr w:type="spellStart"/>
      <w:r w:rsidRPr="000809B7">
        <w:t>coûts</w:t>
      </w:r>
      <w:proofErr w:type="spellEnd"/>
      <w:r w:rsidRPr="000809B7">
        <w:t xml:space="preserve"> des</w:t>
      </w:r>
      <w:r w:rsidRPr="00A95B8F">
        <w:t xml:space="preserve"> services de police et des </w:t>
      </w:r>
      <w:r>
        <w:t>SMU</w:t>
      </w:r>
      <w:r w:rsidRPr="00A95B8F">
        <w:t xml:space="preserve"> pour les </w:t>
      </w:r>
      <w:proofErr w:type="spellStart"/>
      <w:r w:rsidRPr="00A95B8F">
        <w:t>demandes</w:t>
      </w:r>
      <w:proofErr w:type="spellEnd"/>
      <w:r w:rsidRPr="00A95B8F">
        <w:t xml:space="preserve"> </w:t>
      </w:r>
      <w:proofErr w:type="spellStart"/>
      <w:r w:rsidRPr="00A95B8F">
        <w:t>d</w:t>
      </w:r>
      <w:r>
        <w:t>’</w:t>
      </w:r>
      <w:r w:rsidRPr="00A95B8F">
        <w:t>intervention</w:t>
      </w:r>
      <w:proofErr w:type="spellEnd"/>
      <w:r w:rsidRPr="00A95B8F">
        <w:t xml:space="preserve"> </w:t>
      </w:r>
      <w:proofErr w:type="spellStart"/>
      <w:r w:rsidRPr="00A95B8F">
        <w:t>liées</w:t>
      </w:r>
      <w:proofErr w:type="spellEnd"/>
      <w:r w:rsidRPr="00A95B8F">
        <w:t xml:space="preserve"> à </w:t>
      </w:r>
      <w:proofErr w:type="spellStart"/>
      <w:r w:rsidRPr="00A95B8F">
        <w:t>l</w:t>
      </w:r>
      <w:r>
        <w:t>’</w:t>
      </w:r>
      <w:r w:rsidRPr="00A95B8F">
        <w:t>usage</w:t>
      </w:r>
      <w:proofErr w:type="spellEnd"/>
      <w:r w:rsidRPr="00A95B8F">
        <w:t xml:space="preserve"> </w:t>
      </w:r>
      <w:proofErr w:type="spellStart"/>
      <w:r>
        <w:t>illicit</w:t>
      </w:r>
      <w:r w:rsidRPr="00A95B8F">
        <w:t>e</w:t>
      </w:r>
      <w:proofErr w:type="spellEnd"/>
      <w:r w:rsidRPr="00A95B8F">
        <w:t xml:space="preserve"> de substances.</w:t>
      </w:r>
    </w:p>
    <w:p w:rsidR="00AA6CA1" w:rsidRPr="00AA6CA1" w:rsidRDefault="00AA6CA1" w:rsidP="00AA6CA1">
      <w:pPr>
        <w:pStyle w:val="Heading2"/>
      </w:pPr>
      <w:proofErr w:type="spellStart"/>
      <w:r w:rsidRPr="00AA6CA1">
        <w:t>Quels</w:t>
      </w:r>
      <w:proofErr w:type="spellEnd"/>
      <w:r w:rsidRPr="00AA6CA1">
        <w:t xml:space="preserve"> </w:t>
      </w:r>
      <w:proofErr w:type="spellStart"/>
      <w:r w:rsidRPr="00AA6CA1">
        <w:t>sont</w:t>
      </w:r>
      <w:proofErr w:type="spellEnd"/>
      <w:r w:rsidRPr="00AA6CA1">
        <w:t xml:space="preserve"> les </w:t>
      </w:r>
      <w:proofErr w:type="spellStart"/>
      <w:r w:rsidRPr="00AA6CA1">
        <w:t>coûts</w:t>
      </w:r>
      <w:proofErr w:type="spellEnd"/>
      <w:r w:rsidRPr="00AA6CA1">
        <w:t xml:space="preserve"> de la </w:t>
      </w:r>
      <w:proofErr w:type="spellStart"/>
      <w:r w:rsidRPr="00AA6CA1">
        <w:t>poursuite</w:t>
      </w:r>
      <w:proofErr w:type="spellEnd"/>
      <w:r w:rsidRPr="00AA6CA1">
        <w:t xml:space="preserve"> des </w:t>
      </w:r>
      <w:proofErr w:type="spellStart"/>
      <w:r w:rsidRPr="00AA6CA1">
        <w:t>politiques</w:t>
      </w:r>
      <w:proofErr w:type="spellEnd"/>
      <w:r w:rsidRPr="00AA6CA1">
        <w:t xml:space="preserve"> </w:t>
      </w:r>
      <w:proofErr w:type="spellStart"/>
      <w:r w:rsidRPr="00AA6CA1">
        <w:t>actuelles</w:t>
      </w:r>
      <w:proofErr w:type="spellEnd"/>
      <w:r w:rsidRPr="00AA6CA1">
        <w:t xml:space="preserve"> </w:t>
      </w:r>
      <w:proofErr w:type="spellStart"/>
      <w:r w:rsidRPr="00AA6CA1">
        <w:t>en</w:t>
      </w:r>
      <w:proofErr w:type="spellEnd"/>
      <w:r w:rsidRPr="00AA6CA1">
        <w:t xml:space="preserve"> </w:t>
      </w:r>
      <w:proofErr w:type="spellStart"/>
      <w:r w:rsidRPr="00AA6CA1">
        <w:t>matière</w:t>
      </w:r>
      <w:proofErr w:type="spellEnd"/>
      <w:r w:rsidRPr="00AA6CA1">
        <w:t xml:space="preserve"> de drogues?</w:t>
      </w:r>
    </w:p>
    <w:p w:rsidR="00AA6CA1" w:rsidRPr="00AA6CA1" w:rsidRDefault="00AA6CA1" w:rsidP="00AA6CA1">
      <w:pPr>
        <w:pStyle w:val="Heading3"/>
      </w:pPr>
      <w:proofErr w:type="spellStart"/>
      <w:r w:rsidRPr="00AA6CA1">
        <w:t>Coûts</w:t>
      </w:r>
      <w:proofErr w:type="spellEnd"/>
      <w:r w:rsidRPr="00AA6CA1">
        <w:t xml:space="preserve"> </w:t>
      </w:r>
      <w:proofErr w:type="spellStart"/>
      <w:r w:rsidRPr="00AA6CA1">
        <w:t>humains</w:t>
      </w:r>
      <w:proofErr w:type="spellEnd"/>
    </w:p>
    <w:p w:rsidR="00AA6CA1" w:rsidRPr="00327E90" w:rsidRDefault="00AA6CA1" w:rsidP="00AA6CA1">
      <w:proofErr w:type="spellStart"/>
      <w:r w:rsidRPr="00B973D0">
        <w:rPr>
          <w:b/>
          <w:bCs/>
        </w:rPr>
        <w:t>En</w:t>
      </w:r>
      <w:proofErr w:type="spellEnd"/>
      <w:r w:rsidRPr="00B973D0">
        <w:rPr>
          <w:b/>
          <w:bCs/>
        </w:rPr>
        <w:t xml:space="preserve"> Ontario, </w:t>
      </w:r>
      <w:proofErr w:type="spellStart"/>
      <w:r w:rsidRPr="00B973D0">
        <w:t>en</w:t>
      </w:r>
      <w:proofErr w:type="spellEnd"/>
      <w:r w:rsidRPr="00B973D0">
        <w:t xml:space="preserve"> 2021,</w:t>
      </w:r>
      <w:r w:rsidRPr="00B973D0">
        <w:rPr>
          <w:b/>
          <w:bCs/>
        </w:rPr>
        <w:t xml:space="preserve"> 8 </w:t>
      </w:r>
      <w:proofErr w:type="spellStart"/>
      <w:r w:rsidRPr="00B973D0">
        <w:rPr>
          <w:b/>
          <w:bCs/>
        </w:rPr>
        <w:t>décès</w:t>
      </w:r>
      <w:proofErr w:type="spellEnd"/>
      <w:r w:rsidRPr="00B973D0">
        <w:rPr>
          <w:b/>
          <w:bCs/>
        </w:rPr>
        <w:t xml:space="preserve"> par jour</w:t>
      </w:r>
      <w:r>
        <w:rPr>
          <w:b/>
          <w:bCs/>
        </w:rPr>
        <w:t xml:space="preserve"> </w:t>
      </w:r>
      <w:proofErr w:type="spellStart"/>
      <w:r w:rsidRPr="000A53A1">
        <w:t>en</w:t>
      </w:r>
      <w:proofErr w:type="spellEnd"/>
      <w:r w:rsidRPr="000A53A1">
        <w:t xml:space="preserve"> </w:t>
      </w:r>
      <w:proofErr w:type="spellStart"/>
      <w:r w:rsidRPr="000A53A1">
        <w:t>moyenne</w:t>
      </w:r>
      <w:proofErr w:type="spellEnd"/>
      <w:r w:rsidRPr="00B973D0">
        <w:rPr>
          <w:b/>
          <w:bCs/>
        </w:rPr>
        <w:t xml:space="preserve"> </w:t>
      </w:r>
      <w:proofErr w:type="spellStart"/>
      <w:r>
        <w:rPr>
          <w:b/>
          <w:bCs/>
        </w:rPr>
        <w:t>ont</w:t>
      </w:r>
      <w:proofErr w:type="spellEnd"/>
      <w:r>
        <w:rPr>
          <w:b/>
          <w:bCs/>
        </w:rPr>
        <w:t xml:space="preserve"> </w:t>
      </w:r>
      <w:proofErr w:type="spellStart"/>
      <w:r>
        <w:rPr>
          <w:b/>
          <w:bCs/>
        </w:rPr>
        <w:t>été</w:t>
      </w:r>
      <w:proofErr w:type="spellEnd"/>
      <w:r>
        <w:rPr>
          <w:b/>
          <w:bCs/>
        </w:rPr>
        <w:t xml:space="preserve"> </w:t>
      </w:r>
      <w:proofErr w:type="spellStart"/>
      <w:r w:rsidRPr="00B973D0">
        <w:rPr>
          <w:b/>
          <w:bCs/>
        </w:rPr>
        <w:t>causés</w:t>
      </w:r>
      <w:proofErr w:type="spellEnd"/>
      <w:r w:rsidRPr="00B973D0">
        <w:rPr>
          <w:b/>
          <w:bCs/>
        </w:rPr>
        <w:t xml:space="preserve"> par </w:t>
      </w:r>
      <w:proofErr w:type="spellStart"/>
      <w:r w:rsidRPr="00B973D0">
        <w:rPr>
          <w:b/>
          <w:bCs/>
        </w:rPr>
        <w:t>une</w:t>
      </w:r>
      <w:proofErr w:type="spellEnd"/>
      <w:r w:rsidRPr="00B973D0">
        <w:rPr>
          <w:b/>
          <w:bCs/>
        </w:rPr>
        <w:t xml:space="preserve"> </w:t>
      </w:r>
      <w:proofErr w:type="spellStart"/>
      <w:r w:rsidRPr="00B973D0">
        <w:rPr>
          <w:b/>
          <w:bCs/>
        </w:rPr>
        <w:t>surdose</w:t>
      </w:r>
      <w:proofErr w:type="spellEnd"/>
      <w:r w:rsidRPr="00B973D0">
        <w:rPr>
          <w:b/>
          <w:bCs/>
        </w:rPr>
        <w:t xml:space="preserve"> </w:t>
      </w:r>
      <w:r w:rsidRPr="001669C3">
        <w:rPr>
          <w:b/>
          <w:bCs/>
        </w:rPr>
        <w:t>d</w:t>
      </w:r>
      <w:r>
        <w:rPr>
          <w:b/>
          <w:bCs/>
        </w:rPr>
        <w:t>’</w:t>
      </w:r>
      <w:r w:rsidRPr="001669C3">
        <w:rPr>
          <w:b/>
          <w:bCs/>
        </w:rPr>
        <w:t>opioïdes</w:t>
      </w:r>
      <w:r w:rsidRPr="001669C3">
        <w:rPr>
          <w:vertAlign w:val="superscript"/>
        </w:rPr>
        <w:t>1</w:t>
      </w:r>
      <w:r w:rsidRPr="00A54E52">
        <w:t>.</w:t>
      </w:r>
      <w:r w:rsidRPr="008A1055">
        <w:t xml:space="preserve"> </w:t>
      </w:r>
      <w:r w:rsidRPr="001669C3">
        <w:t xml:space="preserve">La </w:t>
      </w:r>
      <w:proofErr w:type="spellStart"/>
      <w:r w:rsidRPr="001669C3">
        <w:t>même</w:t>
      </w:r>
      <w:proofErr w:type="spellEnd"/>
      <w:r w:rsidRPr="001669C3">
        <w:t xml:space="preserve"> </w:t>
      </w:r>
      <w:proofErr w:type="spellStart"/>
      <w:r w:rsidRPr="001669C3">
        <w:t>année</w:t>
      </w:r>
      <w:proofErr w:type="spellEnd"/>
      <w:r w:rsidRPr="001669C3">
        <w:t>,</w:t>
      </w:r>
      <w:r w:rsidRPr="001669C3">
        <w:rPr>
          <w:b/>
          <w:bCs/>
        </w:rPr>
        <w:t xml:space="preserve"> </w:t>
      </w:r>
      <w:proofErr w:type="spellStart"/>
      <w:r w:rsidRPr="001669C3">
        <w:rPr>
          <w:b/>
          <w:bCs/>
        </w:rPr>
        <w:t>dans</w:t>
      </w:r>
      <w:proofErr w:type="spellEnd"/>
      <w:r w:rsidRPr="001669C3">
        <w:rPr>
          <w:b/>
          <w:bCs/>
        </w:rPr>
        <w:t xml:space="preserve"> </w:t>
      </w:r>
      <w:proofErr w:type="spellStart"/>
      <w:r w:rsidRPr="001669C3">
        <w:rPr>
          <w:b/>
          <w:bCs/>
        </w:rPr>
        <w:t>l</w:t>
      </w:r>
      <w:r>
        <w:rPr>
          <w:b/>
          <w:bCs/>
        </w:rPr>
        <w:t>’</w:t>
      </w:r>
      <w:r w:rsidRPr="001669C3">
        <w:rPr>
          <w:b/>
          <w:bCs/>
        </w:rPr>
        <w:t>ensemble</w:t>
      </w:r>
      <w:proofErr w:type="spellEnd"/>
      <w:r w:rsidRPr="001669C3">
        <w:rPr>
          <w:b/>
          <w:bCs/>
        </w:rPr>
        <w:t xml:space="preserve"> du Canada, </w:t>
      </w:r>
      <w:r w:rsidRPr="00A54E52">
        <w:t xml:space="preserve">les </w:t>
      </w:r>
      <w:proofErr w:type="spellStart"/>
      <w:r w:rsidRPr="00A54E52">
        <w:t>surdoses</w:t>
      </w:r>
      <w:proofErr w:type="spellEnd"/>
      <w:r w:rsidRPr="00A54E52">
        <w:t xml:space="preserve"> </w:t>
      </w:r>
      <w:proofErr w:type="spellStart"/>
      <w:r w:rsidRPr="008A1055">
        <w:t>d’opioïdes</w:t>
      </w:r>
      <w:proofErr w:type="spellEnd"/>
      <w:r w:rsidRPr="008A1055">
        <w:t xml:space="preserve"> </w:t>
      </w:r>
      <w:proofErr w:type="spellStart"/>
      <w:r w:rsidRPr="008A1055">
        <w:t>provoquaient</w:t>
      </w:r>
      <w:proofErr w:type="spellEnd"/>
      <w:r w:rsidRPr="001669C3">
        <w:rPr>
          <w:b/>
          <w:bCs/>
        </w:rPr>
        <w:t xml:space="preserve"> 21 </w:t>
      </w:r>
      <w:proofErr w:type="spellStart"/>
      <w:r>
        <w:rPr>
          <w:b/>
          <w:bCs/>
        </w:rPr>
        <w:t>décès</w:t>
      </w:r>
      <w:proofErr w:type="spellEnd"/>
      <w:r>
        <w:rPr>
          <w:b/>
          <w:bCs/>
        </w:rPr>
        <w:t xml:space="preserve"> </w:t>
      </w:r>
      <w:r w:rsidRPr="001669C3">
        <w:rPr>
          <w:b/>
          <w:bCs/>
        </w:rPr>
        <w:t>par jour</w:t>
      </w:r>
      <w:r w:rsidRPr="001669C3">
        <w:rPr>
          <w:vertAlign w:val="superscript"/>
        </w:rPr>
        <w:t>2</w:t>
      </w:r>
      <w:r w:rsidRPr="008A1055">
        <w:t>.</w:t>
      </w:r>
    </w:p>
    <w:p w:rsidR="00AA6CA1" w:rsidRDefault="00AA6CA1" w:rsidP="00AA6CA1">
      <w:pPr>
        <w:spacing w:after="0"/>
      </w:pPr>
      <w:proofErr w:type="spellStart"/>
      <w:r w:rsidRPr="00473221">
        <w:t>En</w:t>
      </w:r>
      <w:proofErr w:type="spellEnd"/>
      <w:r w:rsidRPr="00473221">
        <w:t xml:space="preserve"> Ontario, entre 2016 et 2021, le </w:t>
      </w:r>
      <w:proofErr w:type="spellStart"/>
      <w:r w:rsidRPr="00473221">
        <w:t>nombre</w:t>
      </w:r>
      <w:proofErr w:type="spellEnd"/>
      <w:r w:rsidRPr="00473221">
        <w:t xml:space="preserve"> de </w:t>
      </w:r>
      <w:proofErr w:type="spellStart"/>
      <w:r w:rsidRPr="00473221">
        <w:t>décès</w:t>
      </w:r>
      <w:proofErr w:type="spellEnd"/>
      <w:r w:rsidRPr="00473221">
        <w:t xml:space="preserve"> </w:t>
      </w:r>
      <w:proofErr w:type="spellStart"/>
      <w:r>
        <w:t>dus</w:t>
      </w:r>
      <w:proofErr w:type="spellEnd"/>
      <w:r>
        <w:t xml:space="preserve"> aux</w:t>
      </w:r>
      <w:r w:rsidRPr="00473221">
        <w:t xml:space="preserve"> </w:t>
      </w:r>
      <w:proofErr w:type="spellStart"/>
      <w:r w:rsidRPr="00473221">
        <w:t>opioïdes</w:t>
      </w:r>
      <w:proofErr w:type="spellEnd"/>
      <w:r w:rsidRPr="00473221">
        <w:t xml:space="preserve"> a </w:t>
      </w:r>
      <w:proofErr w:type="spellStart"/>
      <w:r>
        <w:t>bondi</w:t>
      </w:r>
      <w:proofErr w:type="spellEnd"/>
      <w:r w:rsidRPr="00473221">
        <w:t xml:space="preserve"> de 232</w:t>
      </w:r>
      <w:r>
        <w:t> </w:t>
      </w:r>
      <w:r w:rsidRPr="00473221">
        <w:t xml:space="preserve">%, le Nord de la province </w:t>
      </w:r>
      <w:proofErr w:type="spellStart"/>
      <w:r w:rsidRPr="00473221">
        <w:t>affichant</w:t>
      </w:r>
      <w:proofErr w:type="spellEnd"/>
      <w:r w:rsidRPr="00473221">
        <w:t xml:space="preserve"> </w:t>
      </w:r>
      <w:r>
        <w:t>d</w:t>
      </w:r>
      <w:r w:rsidRPr="00473221">
        <w:t xml:space="preserve">es </w:t>
      </w:r>
      <w:proofErr w:type="spellStart"/>
      <w:r w:rsidRPr="00473221">
        <w:t>taux</w:t>
      </w:r>
      <w:proofErr w:type="spellEnd"/>
      <w:r w:rsidRPr="00473221">
        <w:t xml:space="preserve"> de </w:t>
      </w:r>
      <w:proofErr w:type="spellStart"/>
      <w:r w:rsidRPr="00473221">
        <w:t>décès</w:t>
      </w:r>
      <w:proofErr w:type="spellEnd"/>
      <w:r w:rsidRPr="00473221">
        <w:t xml:space="preserve"> plus </w:t>
      </w:r>
      <w:proofErr w:type="spellStart"/>
      <w:r w:rsidRPr="00473221">
        <w:t>élevés</w:t>
      </w:r>
      <w:proofErr w:type="spellEnd"/>
      <w:r w:rsidRPr="00473221">
        <w:t>.</w:t>
      </w:r>
    </w:p>
    <w:p w:rsidR="00AA6CA1" w:rsidRDefault="00AA6CA1" w:rsidP="00AA6CA1">
      <w:pPr>
        <w:pStyle w:val="Heading4"/>
        <w:rPr>
          <w:position w:val="7"/>
          <w:vertAlign w:val="superscript"/>
        </w:rPr>
      </w:pPr>
      <w:proofErr w:type="spellStart"/>
      <w:r w:rsidRPr="0076307F">
        <w:lastRenderedPageBreak/>
        <w:t>Nombre</w:t>
      </w:r>
      <w:proofErr w:type="spellEnd"/>
      <w:r w:rsidRPr="0076307F">
        <w:t xml:space="preserve"> total de </w:t>
      </w:r>
      <w:proofErr w:type="spellStart"/>
      <w:r w:rsidRPr="0076307F">
        <w:t>décès</w:t>
      </w:r>
      <w:proofErr w:type="spellEnd"/>
      <w:r w:rsidRPr="0076307F">
        <w:t xml:space="preserve"> </w:t>
      </w:r>
      <w:proofErr w:type="spellStart"/>
      <w:r w:rsidRPr="0076307F">
        <w:t>liés</w:t>
      </w:r>
      <w:proofErr w:type="spellEnd"/>
      <w:r w:rsidRPr="0076307F">
        <w:t xml:space="preserve"> aux </w:t>
      </w:r>
      <w:proofErr w:type="spellStart"/>
      <w:r w:rsidRPr="0076307F">
        <w:t>opioïdes</w:t>
      </w:r>
      <w:proofErr w:type="spellEnd"/>
      <w:r w:rsidRPr="0076307F">
        <w:t xml:space="preserve"> </w:t>
      </w:r>
      <w:proofErr w:type="spellStart"/>
      <w:r w:rsidRPr="0076307F">
        <w:t>en</w:t>
      </w:r>
      <w:proofErr w:type="spellEnd"/>
      <w:r w:rsidRPr="0076307F">
        <w:t xml:space="preserve"> Ontario, de 2016 </w:t>
      </w:r>
      <w:r w:rsidRPr="001669C3">
        <w:t>à 2021</w:t>
      </w:r>
      <w:r w:rsidRPr="001669C3">
        <w:rPr>
          <w:position w:val="7"/>
          <w:vertAlign w:val="superscript"/>
        </w:rPr>
        <w:t>1</w:t>
      </w:r>
    </w:p>
    <w:p w:rsidR="00AA6CA1" w:rsidRPr="00327E90" w:rsidRDefault="00AA6CA1" w:rsidP="00AA6CA1">
      <w:pPr>
        <w:pStyle w:val="NormalWeb"/>
        <w:spacing w:before="120" w:beforeAutospacing="0" w:after="0" w:afterAutospacing="0"/>
        <w:rPr>
          <w:sz w:val="20"/>
          <w:szCs w:val="20"/>
        </w:rPr>
      </w:pPr>
      <w:r w:rsidRPr="00327E90">
        <w:rPr>
          <w:noProof/>
        </w:rPr>
        <w:drawing>
          <wp:inline distT="0" distB="0" distL="0" distR="0" wp14:anchorId="4C8EF8FF" wp14:editId="23F33C69">
            <wp:extent cx="2846615" cy="2025657"/>
            <wp:effectExtent l="0" t="0" r="1143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6CA1" w:rsidRDefault="00AA6CA1" w:rsidP="00327E90">
      <w:pPr>
        <w:rPr>
          <w:b/>
        </w:rPr>
      </w:pPr>
    </w:p>
    <w:p w:rsidR="00AA6CA1" w:rsidRDefault="00AA6CA1" w:rsidP="00AA6CA1">
      <w:pPr>
        <w:pStyle w:val="Heading3"/>
      </w:pPr>
      <w:proofErr w:type="spellStart"/>
      <w:r w:rsidRPr="007D4E3B">
        <w:t>Coûts</w:t>
      </w:r>
      <w:proofErr w:type="spellEnd"/>
      <w:r w:rsidRPr="007D4E3B">
        <w:t xml:space="preserve"> </w:t>
      </w:r>
      <w:proofErr w:type="spellStart"/>
      <w:r w:rsidRPr="007D4E3B">
        <w:t>sociétaux</w:t>
      </w:r>
      <w:proofErr w:type="spellEnd"/>
    </w:p>
    <w:p w:rsidR="00AA6CA1" w:rsidRPr="007D4E3B" w:rsidRDefault="00AA6CA1" w:rsidP="00AA6CA1">
      <w:pPr>
        <w:rPr>
          <w:b/>
          <w:highlight w:val="yellow"/>
        </w:rPr>
      </w:pPr>
      <w:proofErr w:type="spellStart"/>
      <w:r w:rsidRPr="00B33317">
        <w:rPr>
          <w:b/>
        </w:rPr>
        <w:t>Coûts</w:t>
      </w:r>
      <w:proofErr w:type="spellEnd"/>
      <w:r w:rsidRPr="00B33317">
        <w:rPr>
          <w:b/>
        </w:rPr>
        <w:t xml:space="preserve"> </w:t>
      </w:r>
      <w:proofErr w:type="spellStart"/>
      <w:r w:rsidRPr="00B33317">
        <w:rPr>
          <w:b/>
        </w:rPr>
        <w:t>associés</w:t>
      </w:r>
      <w:proofErr w:type="spellEnd"/>
      <w:r w:rsidRPr="00B33317">
        <w:rPr>
          <w:b/>
        </w:rPr>
        <w:t xml:space="preserve"> à </w:t>
      </w:r>
      <w:proofErr w:type="spellStart"/>
      <w:r w:rsidRPr="00B33317">
        <w:rPr>
          <w:b/>
        </w:rPr>
        <w:t>l</w:t>
      </w:r>
      <w:r>
        <w:rPr>
          <w:b/>
        </w:rPr>
        <w:t>’</w:t>
      </w:r>
      <w:r w:rsidRPr="00B33317">
        <w:rPr>
          <w:b/>
        </w:rPr>
        <w:t>usage</w:t>
      </w:r>
      <w:proofErr w:type="spellEnd"/>
      <w:r w:rsidRPr="00B33317">
        <w:rPr>
          <w:b/>
        </w:rPr>
        <w:t xml:space="preserve"> de substances </w:t>
      </w:r>
      <w:proofErr w:type="spellStart"/>
      <w:r>
        <w:rPr>
          <w:b/>
        </w:rPr>
        <w:t>psychoactives</w:t>
      </w:r>
      <w:proofErr w:type="spellEnd"/>
      <w:r>
        <w:rPr>
          <w:b/>
        </w:rPr>
        <w:t xml:space="preserve"> </w:t>
      </w:r>
      <w:proofErr w:type="spellStart"/>
      <w:r w:rsidRPr="00B33317">
        <w:rPr>
          <w:b/>
        </w:rPr>
        <w:t>en</w:t>
      </w:r>
      <w:proofErr w:type="spellEnd"/>
      <w:r w:rsidRPr="00B33317">
        <w:rPr>
          <w:b/>
        </w:rPr>
        <w:t xml:space="preserve"> Ontario </w:t>
      </w:r>
      <w:proofErr w:type="spellStart"/>
      <w:r w:rsidRPr="00B33317">
        <w:rPr>
          <w:b/>
        </w:rPr>
        <w:t>en</w:t>
      </w:r>
      <w:proofErr w:type="spellEnd"/>
      <w:r w:rsidRPr="00B33317">
        <w:rPr>
          <w:b/>
        </w:rPr>
        <w:t xml:space="preserve"> </w:t>
      </w:r>
      <w:proofErr w:type="gramStart"/>
      <w:r w:rsidRPr="00B33317">
        <w:rPr>
          <w:b/>
        </w:rPr>
        <w:t>2017</w:t>
      </w:r>
      <w:r>
        <w:rPr>
          <w:b/>
        </w:rPr>
        <w:t> :</w:t>
      </w:r>
      <w:proofErr w:type="gramEnd"/>
      <w:r w:rsidRPr="00B33317">
        <w:rPr>
          <w:b/>
        </w:rPr>
        <w:t xml:space="preserve"> </w:t>
      </w:r>
      <w:r>
        <w:rPr>
          <w:b/>
        </w:rPr>
        <w:t>p</w:t>
      </w:r>
      <w:r w:rsidRPr="00B33317">
        <w:rPr>
          <w:b/>
        </w:rPr>
        <w:t>lus de 4,6</w:t>
      </w:r>
      <w:r>
        <w:rPr>
          <w:b/>
        </w:rPr>
        <w:t> </w:t>
      </w:r>
      <w:r w:rsidRPr="00B33317">
        <w:rPr>
          <w:b/>
        </w:rPr>
        <w:t>milliards de dollars</w:t>
      </w:r>
    </w:p>
    <w:p w:rsidR="00AA6CA1" w:rsidRPr="007D4E3B" w:rsidRDefault="00AA6CA1" w:rsidP="00AA6CA1">
      <w:pPr>
        <w:rPr>
          <w:highlight w:val="yellow"/>
        </w:rPr>
      </w:pPr>
      <w:r>
        <w:t>L</w:t>
      </w:r>
      <w:r w:rsidRPr="00025F65">
        <w:t xml:space="preserve">es substances </w:t>
      </w:r>
      <w:proofErr w:type="spellStart"/>
      <w:r>
        <w:t>incriminées</w:t>
      </w:r>
      <w:proofErr w:type="spellEnd"/>
      <w:r>
        <w:t xml:space="preserve"> </w:t>
      </w:r>
      <w:proofErr w:type="spellStart"/>
      <w:r w:rsidRPr="00025F65">
        <w:t>comprennent</w:t>
      </w:r>
      <w:proofErr w:type="spellEnd"/>
      <w:r w:rsidRPr="00025F65">
        <w:t xml:space="preserve"> les </w:t>
      </w:r>
      <w:proofErr w:type="spellStart"/>
      <w:r w:rsidRPr="00025F65">
        <w:t>opioïdes</w:t>
      </w:r>
      <w:proofErr w:type="spellEnd"/>
      <w:r w:rsidRPr="00025F65">
        <w:t xml:space="preserve"> </w:t>
      </w:r>
      <w:proofErr w:type="gramStart"/>
      <w:r w:rsidRPr="00025F65">
        <w:t>et</w:t>
      </w:r>
      <w:proofErr w:type="gramEnd"/>
      <w:r w:rsidRPr="00025F65">
        <w:t xml:space="preserve"> </w:t>
      </w:r>
      <w:proofErr w:type="spellStart"/>
      <w:r w:rsidRPr="00025F65">
        <w:t>autres</w:t>
      </w:r>
      <w:proofErr w:type="spellEnd"/>
      <w:r w:rsidRPr="00025F65">
        <w:t xml:space="preserve"> </w:t>
      </w:r>
      <w:proofErr w:type="spellStart"/>
      <w:r w:rsidRPr="00025F65">
        <w:t>dépresseurs</w:t>
      </w:r>
      <w:proofErr w:type="spellEnd"/>
      <w:r w:rsidRPr="00025F65">
        <w:t xml:space="preserve"> du </w:t>
      </w:r>
      <w:proofErr w:type="spellStart"/>
      <w:r w:rsidRPr="00025F65">
        <w:t>système</w:t>
      </w:r>
      <w:proofErr w:type="spellEnd"/>
      <w:r w:rsidRPr="00025F65">
        <w:t xml:space="preserve"> </w:t>
      </w:r>
      <w:proofErr w:type="spellStart"/>
      <w:r w:rsidRPr="00025F65">
        <w:t>nerveux</w:t>
      </w:r>
      <w:proofErr w:type="spellEnd"/>
      <w:r w:rsidRPr="00025F65">
        <w:t xml:space="preserve"> central (SNC), la </w:t>
      </w:r>
      <w:proofErr w:type="spellStart"/>
      <w:r w:rsidRPr="00025F65">
        <w:t>cocaïne</w:t>
      </w:r>
      <w:proofErr w:type="spellEnd"/>
      <w:r w:rsidRPr="00025F65">
        <w:t xml:space="preserve"> et </w:t>
      </w:r>
      <w:proofErr w:type="spellStart"/>
      <w:r w:rsidRPr="00025F65">
        <w:t>autres</w:t>
      </w:r>
      <w:proofErr w:type="spellEnd"/>
      <w:r w:rsidRPr="00025F65">
        <w:t xml:space="preserve"> stimulants du SNC, </w:t>
      </w:r>
      <w:proofErr w:type="spellStart"/>
      <w:r w:rsidRPr="00025F65">
        <w:t>ainsi</w:t>
      </w:r>
      <w:proofErr w:type="spellEnd"/>
      <w:r w:rsidRPr="00025F65">
        <w:t xml:space="preserve"> que </w:t>
      </w:r>
      <w:proofErr w:type="spellStart"/>
      <w:r w:rsidRPr="00025F65">
        <w:t>d</w:t>
      </w:r>
      <w:r>
        <w:t>’</w:t>
      </w:r>
      <w:r w:rsidRPr="00025F65">
        <w:t>autres</w:t>
      </w:r>
      <w:proofErr w:type="spellEnd"/>
      <w:r w:rsidRPr="00025F65">
        <w:t xml:space="preserve"> substances</w:t>
      </w:r>
      <w:r>
        <w:t xml:space="preserve"> </w:t>
      </w:r>
      <w:proofErr w:type="spellStart"/>
      <w:r>
        <w:t>psychoactives</w:t>
      </w:r>
      <w:proofErr w:type="spellEnd"/>
      <w:r w:rsidRPr="00025F65">
        <w:t xml:space="preserve">, à </w:t>
      </w:r>
      <w:proofErr w:type="spellStart"/>
      <w:r w:rsidRPr="00025F65">
        <w:t>l</w:t>
      </w:r>
      <w:r>
        <w:t>’</w:t>
      </w:r>
      <w:r w:rsidRPr="00025F65">
        <w:t>exception</w:t>
      </w:r>
      <w:proofErr w:type="spellEnd"/>
      <w:r w:rsidRPr="00025F65">
        <w:t xml:space="preserve"> de </w:t>
      </w:r>
      <w:proofErr w:type="spellStart"/>
      <w:r w:rsidRPr="00025F65">
        <w:t>l</w:t>
      </w:r>
      <w:r>
        <w:t>’</w:t>
      </w:r>
      <w:r w:rsidRPr="00025F65">
        <w:t>alcool</w:t>
      </w:r>
      <w:proofErr w:type="spellEnd"/>
      <w:r w:rsidRPr="00025F65">
        <w:t xml:space="preserve">, du </w:t>
      </w:r>
      <w:proofErr w:type="spellStart"/>
      <w:r w:rsidRPr="00025F65">
        <w:t>tabac</w:t>
      </w:r>
      <w:proofErr w:type="spellEnd"/>
      <w:r w:rsidRPr="00025F65">
        <w:t xml:space="preserve"> et du cannabis.</w:t>
      </w:r>
    </w:p>
    <w:p w:rsidR="00AA6CA1" w:rsidRPr="007D4E3B" w:rsidRDefault="00AA6CA1" w:rsidP="00AA6CA1">
      <w:pPr>
        <w:rPr>
          <w:highlight w:val="yellow"/>
        </w:rPr>
      </w:pPr>
      <w:r w:rsidRPr="008D49D3">
        <w:t xml:space="preserve">Les </w:t>
      </w:r>
      <w:proofErr w:type="spellStart"/>
      <w:r w:rsidRPr="008D49D3">
        <w:t>coûts</w:t>
      </w:r>
      <w:proofErr w:type="spellEnd"/>
      <w:r w:rsidRPr="008D49D3">
        <w:t xml:space="preserve"> de santé </w:t>
      </w:r>
      <w:proofErr w:type="spellStart"/>
      <w:r>
        <w:t>recouvr</w:t>
      </w:r>
      <w:r w:rsidRPr="008D49D3">
        <w:t>ent</w:t>
      </w:r>
      <w:proofErr w:type="spellEnd"/>
      <w:r w:rsidRPr="008D49D3">
        <w:t xml:space="preserve"> les </w:t>
      </w:r>
      <w:proofErr w:type="spellStart"/>
      <w:r w:rsidRPr="008D49D3">
        <w:t>hospitalisations</w:t>
      </w:r>
      <w:proofErr w:type="spellEnd"/>
      <w:r w:rsidRPr="008D49D3">
        <w:t xml:space="preserve">, les </w:t>
      </w:r>
      <w:proofErr w:type="spellStart"/>
      <w:r w:rsidRPr="008D49D3">
        <w:t>chirurgies</w:t>
      </w:r>
      <w:proofErr w:type="spellEnd"/>
      <w:r w:rsidRPr="008D49D3">
        <w:t xml:space="preserve"> </w:t>
      </w:r>
      <w:proofErr w:type="spellStart"/>
      <w:r w:rsidRPr="008D49D3">
        <w:t>ambulatoires</w:t>
      </w:r>
      <w:proofErr w:type="spellEnd"/>
      <w:r w:rsidRPr="008D49D3">
        <w:t xml:space="preserve">, les </w:t>
      </w:r>
      <w:proofErr w:type="spellStart"/>
      <w:r w:rsidRPr="008D49D3">
        <w:t>visites</w:t>
      </w:r>
      <w:proofErr w:type="spellEnd"/>
      <w:r w:rsidRPr="008D49D3">
        <w:t xml:space="preserve"> aux </w:t>
      </w:r>
      <w:proofErr w:type="spellStart"/>
      <w:r w:rsidRPr="008D49D3">
        <w:t>urgences</w:t>
      </w:r>
      <w:proofErr w:type="spellEnd"/>
      <w:r w:rsidRPr="008D49D3">
        <w:t xml:space="preserve">, les séances de </w:t>
      </w:r>
      <w:proofErr w:type="spellStart"/>
      <w:r w:rsidRPr="008D49D3">
        <w:t>traitement</w:t>
      </w:r>
      <w:proofErr w:type="spellEnd"/>
      <w:r w:rsidRPr="008D49D3">
        <w:t xml:space="preserve"> </w:t>
      </w:r>
      <w:proofErr w:type="spellStart"/>
      <w:r w:rsidRPr="008D49D3">
        <w:t>spécialisé</w:t>
      </w:r>
      <w:proofErr w:type="spellEnd"/>
      <w:r w:rsidRPr="008D49D3">
        <w:t xml:space="preserve">, les consultations </w:t>
      </w:r>
      <w:proofErr w:type="spellStart"/>
      <w:r w:rsidRPr="008D49D3">
        <w:t>médicales</w:t>
      </w:r>
      <w:proofErr w:type="spellEnd"/>
      <w:r w:rsidRPr="008D49D3">
        <w:t xml:space="preserve"> </w:t>
      </w:r>
      <w:proofErr w:type="gramStart"/>
      <w:r w:rsidRPr="008D49D3">
        <w:t>et</w:t>
      </w:r>
      <w:proofErr w:type="gramEnd"/>
      <w:r w:rsidRPr="008D49D3">
        <w:t xml:space="preserve"> les </w:t>
      </w:r>
      <w:proofErr w:type="spellStart"/>
      <w:r w:rsidRPr="008D49D3">
        <w:t>médicaments</w:t>
      </w:r>
      <w:proofErr w:type="spellEnd"/>
      <w:r w:rsidRPr="008D49D3">
        <w:t xml:space="preserve"> </w:t>
      </w:r>
      <w:proofErr w:type="spellStart"/>
      <w:r w:rsidRPr="008D49D3">
        <w:t>d</w:t>
      </w:r>
      <w:r>
        <w:t>’</w:t>
      </w:r>
      <w:r w:rsidRPr="008D49D3">
        <w:t>ordonnance</w:t>
      </w:r>
      <w:proofErr w:type="spellEnd"/>
      <w:r w:rsidRPr="008D49D3">
        <w:t>.</w:t>
      </w:r>
    </w:p>
    <w:p w:rsidR="00AA6CA1" w:rsidRPr="00A537B4" w:rsidRDefault="00AA6CA1" w:rsidP="00AA6CA1">
      <w:r w:rsidRPr="00A537B4">
        <w:rPr>
          <w:bCs/>
        </w:rPr>
        <w:t xml:space="preserve">Les </w:t>
      </w:r>
      <w:proofErr w:type="spellStart"/>
      <w:r w:rsidRPr="00A537B4">
        <w:rPr>
          <w:bCs/>
        </w:rPr>
        <w:t>coûts</w:t>
      </w:r>
      <w:proofErr w:type="spellEnd"/>
      <w:r w:rsidRPr="00A537B4">
        <w:rPr>
          <w:bCs/>
        </w:rPr>
        <w:t xml:space="preserve"> </w:t>
      </w:r>
      <w:proofErr w:type="spellStart"/>
      <w:r w:rsidRPr="00A537B4">
        <w:rPr>
          <w:bCs/>
        </w:rPr>
        <w:t>liés</w:t>
      </w:r>
      <w:proofErr w:type="spellEnd"/>
      <w:r w:rsidRPr="00A537B4">
        <w:rPr>
          <w:bCs/>
        </w:rPr>
        <w:t xml:space="preserve"> à la </w:t>
      </w:r>
      <w:proofErr w:type="spellStart"/>
      <w:r w:rsidRPr="00A537B4">
        <w:rPr>
          <w:bCs/>
        </w:rPr>
        <w:t>perte</w:t>
      </w:r>
      <w:proofErr w:type="spellEnd"/>
      <w:r w:rsidRPr="00A537B4">
        <w:rPr>
          <w:bCs/>
        </w:rPr>
        <w:t xml:space="preserve"> de </w:t>
      </w:r>
      <w:proofErr w:type="spellStart"/>
      <w:r w:rsidRPr="00A537B4">
        <w:rPr>
          <w:bCs/>
        </w:rPr>
        <w:t>productivité</w:t>
      </w:r>
      <w:proofErr w:type="spellEnd"/>
      <w:r w:rsidRPr="00A537B4">
        <w:rPr>
          <w:bCs/>
        </w:rPr>
        <w:t xml:space="preserve"> </w:t>
      </w:r>
      <w:proofErr w:type="spellStart"/>
      <w:r w:rsidRPr="00A537B4">
        <w:rPr>
          <w:bCs/>
        </w:rPr>
        <w:t>recouvrent</w:t>
      </w:r>
      <w:proofErr w:type="spellEnd"/>
      <w:r w:rsidRPr="00A537B4">
        <w:rPr>
          <w:bCs/>
        </w:rPr>
        <w:t xml:space="preserve"> la </w:t>
      </w:r>
      <w:proofErr w:type="spellStart"/>
      <w:r w:rsidRPr="00A537B4">
        <w:rPr>
          <w:bCs/>
        </w:rPr>
        <w:t>perte</w:t>
      </w:r>
      <w:proofErr w:type="spellEnd"/>
      <w:r w:rsidRPr="00A537B4">
        <w:rPr>
          <w:bCs/>
        </w:rPr>
        <w:t xml:space="preserve"> </w:t>
      </w:r>
      <w:proofErr w:type="spellStart"/>
      <w:r w:rsidRPr="00A537B4">
        <w:rPr>
          <w:bCs/>
        </w:rPr>
        <w:t>d</w:t>
      </w:r>
      <w:r>
        <w:rPr>
          <w:bCs/>
        </w:rPr>
        <w:t>’</w:t>
      </w:r>
      <w:r w:rsidRPr="00A537B4">
        <w:rPr>
          <w:bCs/>
        </w:rPr>
        <w:t>années</w:t>
      </w:r>
      <w:proofErr w:type="spellEnd"/>
      <w:r w:rsidRPr="00A537B4">
        <w:rPr>
          <w:bCs/>
        </w:rPr>
        <w:t xml:space="preserve"> </w:t>
      </w:r>
      <w:proofErr w:type="spellStart"/>
      <w:r w:rsidRPr="00A537B4">
        <w:rPr>
          <w:bCs/>
        </w:rPr>
        <w:t>potentielles</w:t>
      </w:r>
      <w:proofErr w:type="spellEnd"/>
      <w:r w:rsidRPr="00A537B4">
        <w:rPr>
          <w:bCs/>
        </w:rPr>
        <w:t xml:space="preserve"> de vie productive </w:t>
      </w:r>
      <w:proofErr w:type="spellStart"/>
      <w:r w:rsidRPr="00A537B4">
        <w:rPr>
          <w:bCs/>
        </w:rPr>
        <w:t>ainsi</w:t>
      </w:r>
      <w:proofErr w:type="spellEnd"/>
      <w:r w:rsidRPr="00A537B4">
        <w:rPr>
          <w:bCs/>
        </w:rPr>
        <w:t xml:space="preserve"> que </w:t>
      </w:r>
      <w:r>
        <w:rPr>
          <w:bCs/>
        </w:rPr>
        <w:t xml:space="preserve">les </w:t>
      </w:r>
      <w:proofErr w:type="spellStart"/>
      <w:r w:rsidRPr="00A537B4">
        <w:rPr>
          <w:bCs/>
        </w:rPr>
        <w:t>invalidité</w:t>
      </w:r>
      <w:r>
        <w:rPr>
          <w:bCs/>
        </w:rPr>
        <w:t>s</w:t>
      </w:r>
      <w:proofErr w:type="spellEnd"/>
      <w:r w:rsidRPr="00A537B4">
        <w:rPr>
          <w:bCs/>
        </w:rPr>
        <w:t xml:space="preserve"> </w:t>
      </w:r>
      <w:proofErr w:type="spellStart"/>
      <w:r w:rsidRPr="00A537B4">
        <w:rPr>
          <w:bCs/>
        </w:rPr>
        <w:t>prolongée</w:t>
      </w:r>
      <w:r>
        <w:rPr>
          <w:bCs/>
        </w:rPr>
        <w:t>s</w:t>
      </w:r>
      <w:proofErr w:type="spellEnd"/>
      <w:r w:rsidRPr="00A537B4">
        <w:rPr>
          <w:bCs/>
        </w:rPr>
        <w:t xml:space="preserve"> </w:t>
      </w:r>
      <w:proofErr w:type="gramStart"/>
      <w:r w:rsidRPr="00A537B4">
        <w:rPr>
          <w:bCs/>
        </w:rPr>
        <w:t>et</w:t>
      </w:r>
      <w:proofErr w:type="gramEnd"/>
      <w:r w:rsidRPr="00A537B4">
        <w:rPr>
          <w:bCs/>
        </w:rPr>
        <w:t xml:space="preserve"> </w:t>
      </w:r>
      <w:r>
        <w:rPr>
          <w:bCs/>
        </w:rPr>
        <w:t xml:space="preserve">les </w:t>
      </w:r>
      <w:proofErr w:type="spellStart"/>
      <w:r w:rsidRPr="00A537B4">
        <w:rPr>
          <w:bCs/>
        </w:rPr>
        <w:t>invalidité</w:t>
      </w:r>
      <w:r>
        <w:rPr>
          <w:bCs/>
        </w:rPr>
        <w:t>s</w:t>
      </w:r>
      <w:proofErr w:type="spellEnd"/>
      <w:r w:rsidRPr="00A537B4">
        <w:rPr>
          <w:bCs/>
        </w:rPr>
        <w:t xml:space="preserve"> de </w:t>
      </w:r>
      <w:proofErr w:type="spellStart"/>
      <w:r w:rsidRPr="00A537B4">
        <w:rPr>
          <w:bCs/>
        </w:rPr>
        <w:t>courte</w:t>
      </w:r>
      <w:proofErr w:type="spellEnd"/>
      <w:r w:rsidRPr="00A537B4">
        <w:rPr>
          <w:bCs/>
        </w:rPr>
        <w:t xml:space="preserve"> </w:t>
      </w:r>
      <w:proofErr w:type="spellStart"/>
      <w:r w:rsidRPr="00A537B4">
        <w:rPr>
          <w:bCs/>
        </w:rPr>
        <w:t>durée</w:t>
      </w:r>
      <w:proofErr w:type="spellEnd"/>
      <w:r w:rsidRPr="00A537B4">
        <w:t>.</w:t>
      </w:r>
    </w:p>
    <w:p w:rsidR="00AA6CA1" w:rsidRPr="00592B21" w:rsidRDefault="00AA6CA1" w:rsidP="00AA6CA1">
      <w:pPr>
        <w:rPr>
          <w:highlight w:val="yellow"/>
        </w:rPr>
      </w:pPr>
      <w:r w:rsidRPr="00523F28">
        <w:rPr>
          <w:bCs/>
        </w:rPr>
        <w:t xml:space="preserve">Les </w:t>
      </w:r>
      <w:proofErr w:type="spellStart"/>
      <w:r w:rsidRPr="00523F28">
        <w:rPr>
          <w:bCs/>
        </w:rPr>
        <w:t>coûts</w:t>
      </w:r>
      <w:proofErr w:type="spellEnd"/>
      <w:r w:rsidRPr="00523F28">
        <w:rPr>
          <w:bCs/>
        </w:rPr>
        <w:t xml:space="preserve"> </w:t>
      </w:r>
      <w:proofErr w:type="spellStart"/>
      <w:r w:rsidRPr="00523F28">
        <w:rPr>
          <w:bCs/>
        </w:rPr>
        <w:t>supportés</w:t>
      </w:r>
      <w:proofErr w:type="spellEnd"/>
      <w:r w:rsidRPr="00523F28">
        <w:rPr>
          <w:bCs/>
        </w:rPr>
        <w:t xml:space="preserve"> par le </w:t>
      </w:r>
      <w:proofErr w:type="spellStart"/>
      <w:r w:rsidRPr="00523F28">
        <w:rPr>
          <w:bCs/>
        </w:rPr>
        <w:t>système</w:t>
      </w:r>
      <w:proofErr w:type="spellEnd"/>
      <w:r w:rsidRPr="00523F28">
        <w:rPr>
          <w:bCs/>
        </w:rPr>
        <w:t xml:space="preserve"> de justice </w:t>
      </w:r>
      <w:proofErr w:type="spellStart"/>
      <w:r w:rsidRPr="00523F28">
        <w:rPr>
          <w:bCs/>
        </w:rPr>
        <w:t>pénale</w:t>
      </w:r>
      <w:proofErr w:type="spellEnd"/>
      <w:r w:rsidRPr="00523F28">
        <w:rPr>
          <w:bCs/>
        </w:rPr>
        <w:t xml:space="preserve"> </w:t>
      </w:r>
      <w:proofErr w:type="spellStart"/>
      <w:r>
        <w:rPr>
          <w:bCs/>
        </w:rPr>
        <w:t>englobent</w:t>
      </w:r>
      <w:proofErr w:type="spellEnd"/>
      <w:r w:rsidRPr="00523F28">
        <w:rPr>
          <w:bCs/>
        </w:rPr>
        <w:t xml:space="preserve"> les services de police, </w:t>
      </w:r>
      <w:proofErr w:type="spellStart"/>
      <w:r w:rsidRPr="00523F28">
        <w:rPr>
          <w:bCs/>
        </w:rPr>
        <w:t>l</w:t>
      </w:r>
      <w:r>
        <w:rPr>
          <w:bCs/>
        </w:rPr>
        <w:t>’intervention</w:t>
      </w:r>
      <w:proofErr w:type="spellEnd"/>
      <w:r w:rsidRPr="00523F28">
        <w:rPr>
          <w:bCs/>
        </w:rPr>
        <w:t xml:space="preserve"> des </w:t>
      </w:r>
      <w:proofErr w:type="spellStart"/>
      <w:r w:rsidRPr="00523F28">
        <w:rPr>
          <w:bCs/>
        </w:rPr>
        <w:t>tribunaux</w:t>
      </w:r>
      <w:proofErr w:type="spellEnd"/>
      <w:r w:rsidRPr="00523F28">
        <w:rPr>
          <w:bCs/>
        </w:rPr>
        <w:t xml:space="preserve"> </w:t>
      </w:r>
      <w:proofErr w:type="gramStart"/>
      <w:r w:rsidRPr="00523F28">
        <w:rPr>
          <w:bCs/>
        </w:rPr>
        <w:t>et</w:t>
      </w:r>
      <w:proofErr w:type="gramEnd"/>
      <w:r w:rsidRPr="00523F28">
        <w:rPr>
          <w:bCs/>
        </w:rPr>
        <w:t xml:space="preserve"> les services </w:t>
      </w:r>
      <w:proofErr w:type="spellStart"/>
      <w:r w:rsidRPr="00523F28">
        <w:rPr>
          <w:bCs/>
        </w:rPr>
        <w:t>correctionnels</w:t>
      </w:r>
      <w:proofErr w:type="spellEnd"/>
      <w:r w:rsidRPr="00523F28">
        <w:rPr>
          <w:bCs/>
        </w:rPr>
        <w:t>.</w:t>
      </w:r>
    </w:p>
    <w:p w:rsidR="00AA6CA1" w:rsidRDefault="00AA6CA1" w:rsidP="00AA6CA1">
      <w:pPr>
        <w:pStyle w:val="Heading4"/>
      </w:pPr>
      <w:proofErr w:type="spellStart"/>
      <w:r w:rsidRPr="000B3AA5">
        <w:t>Visites</w:t>
      </w:r>
      <w:proofErr w:type="spellEnd"/>
      <w:r w:rsidRPr="000B3AA5">
        <w:t xml:space="preserve"> aux </w:t>
      </w:r>
      <w:proofErr w:type="spellStart"/>
      <w:r w:rsidRPr="000B3AA5">
        <w:t>urgences</w:t>
      </w:r>
      <w:proofErr w:type="spellEnd"/>
      <w:r w:rsidRPr="000B3AA5">
        <w:t xml:space="preserve"> </w:t>
      </w:r>
      <w:proofErr w:type="spellStart"/>
      <w:r w:rsidRPr="000B3AA5">
        <w:t>liées</w:t>
      </w:r>
      <w:proofErr w:type="spellEnd"/>
      <w:r w:rsidRPr="000B3AA5">
        <w:t xml:space="preserve"> aux </w:t>
      </w:r>
      <w:proofErr w:type="spellStart"/>
      <w:r w:rsidRPr="000B3AA5">
        <w:t>opioïdes</w:t>
      </w:r>
      <w:proofErr w:type="spellEnd"/>
      <w:r w:rsidRPr="000B3AA5">
        <w:t xml:space="preserve">, </w:t>
      </w:r>
      <w:proofErr w:type="spellStart"/>
      <w:r>
        <w:t>en</w:t>
      </w:r>
      <w:proofErr w:type="spellEnd"/>
      <w:r>
        <w:t xml:space="preserve"> </w:t>
      </w:r>
      <w:r w:rsidRPr="000B3AA5">
        <w:t>Ontario</w:t>
      </w:r>
    </w:p>
    <w:p w:rsidR="00AA6CA1" w:rsidRDefault="00AA6CA1" w:rsidP="00327E90">
      <w:pPr>
        <w:rPr>
          <w:b/>
        </w:rPr>
      </w:pPr>
      <w:r w:rsidRPr="0095527D">
        <w:rPr>
          <w:b/>
          <w:noProof/>
        </w:rPr>
        <w:drawing>
          <wp:inline distT="0" distB="0" distL="0" distR="0" wp14:anchorId="23543F2C" wp14:editId="720832CE">
            <wp:extent cx="2156582" cy="2041962"/>
            <wp:effectExtent l="0" t="0" r="1524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6CA1" w:rsidRDefault="00AA6CA1" w:rsidP="00AA6CA1">
      <w:pPr>
        <w:pStyle w:val="Heading4"/>
      </w:pPr>
      <w:proofErr w:type="spellStart"/>
      <w:r w:rsidRPr="001B320B">
        <w:lastRenderedPageBreak/>
        <w:t>Nombre</w:t>
      </w:r>
      <w:proofErr w:type="spellEnd"/>
      <w:r w:rsidRPr="001B320B">
        <w:t xml:space="preserve"> </w:t>
      </w:r>
      <w:proofErr w:type="spellStart"/>
      <w:r w:rsidRPr="001B320B">
        <w:t>d</w:t>
      </w:r>
      <w:r>
        <w:t>’</w:t>
      </w:r>
      <w:r w:rsidRPr="001B320B">
        <w:t>interventions</w:t>
      </w:r>
      <w:proofErr w:type="spellEnd"/>
      <w:r w:rsidRPr="001B320B">
        <w:t xml:space="preserve"> des SMU pour des </w:t>
      </w:r>
      <w:proofErr w:type="spellStart"/>
      <w:r w:rsidRPr="001B320B">
        <w:t>surdoses</w:t>
      </w:r>
      <w:proofErr w:type="spellEnd"/>
      <w:r w:rsidRPr="001B320B">
        <w:t xml:space="preserve"> </w:t>
      </w:r>
      <w:proofErr w:type="spellStart"/>
      <w:r w:rsidRPr="001B320B">
        <w:t>présumées</w:t>
      </w:r>
      <w:proofErr w:type="spellEnd"/>
      <w:r w:rsidRPr="001B320B">
        <w:t xml:space="preserve"> </w:t>
      </w:r>
      <w:proofErr w:type="spellStart"/>
      <w:r w:rsidRPr="001B320B">
        <w:t>d</w:t>
      </w:r>
      <w:r>
        <w:t>’</w:t>
      </w:r>
      <w:r w:rsidRPr="001B320B">
        <w:t>opioïdes</w:t>
      </w:r>
      <w:proofErr w:type="spellEnd"/>
      <w:r w:rsidRPr="001B320B">
        <w:t xml:space="preserve">, </w:t>
      </w:r>
      <w:proofErr w:type="spellStart"/>
      <w:r w:rsidRPr="001B320B">
        <w:t>en</w:t>
      </w:r>
      <w:proofErr w:type="spellEnd"/>
      <w:r w:rsidRPr="001B320B">
        <w:t xml:space="preserve"> Ontario</w:t>
      </w:r>
    </w:p>
    <w:p w:rsidR="00AA6CA1" w:rsidRDefault="00AA6CA1" w:rsidP="00AA6CA1">
      <w:r w:rsidRPr="0095527D">
        <w:rPr>
          <w:b/>
          <w:noProof/>
        </w:rPr>
        <w:drawing>
          <wp:inline distT="0" distB="0" distL="0" distR="0" wp14:anchorId="347548D1" wp14:editId="12775C9C">
            <wp:extent cx="2247797" cy="1885082"/>
            <wp:effectExtent l="0" t="0" r="635"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6CA1" w:rsidRPr="00443F0D" w:rsidRDefault="00AA6CA1" w:rsidP="00AA6CA1">
      <w:pPr>
        <w:pStyle w:val="Heading3"/>
      </w:pPr>
      <w:proofErr w:type="spellStart"/>
      <w:r w:rsidRPr="00443F0D">
        <w:t>Autres</w:t>
      </w:r>
      <w:proofErr w:type="spellEnd"/>
      <w:r w:rsidRPr="00443F0D">
        <w:t xml:space="preserve"> </w:t>
      </w:r>
      <w:proofErr w:type="spellStart"/>
      <w:r w:rsidRPr="00443F0D">
        <w:t>préjudices</w:t>
      </w:r>
      <w:proofErr w:type="spellEnd"/>
      <w:r w:rsidRPr="00443F0D">
        <w:t xml:space="preserve"> </w:t>
      </w:r>
      <w:proofErr w:type="spellStart"/>
      <w:r w:rsidRPr="00443F0D">
        <w:t>résultant</w:t>
      </w:r>
      <w:proofErr w:type="spellEnd"/>
      <w:r w:rsidRPr="00443F0D">
        <w:t xml:space="preserve"> des </w:t>
      </w:r>
      <w:proofErr w:type="spellStart"/>
      <w:r w:rsidRPr="00443F0D">
        <w:t>politiques</w:t>
      </w:r>
      <w:proofErr w:type="spellEnd"/>
      <w:r w:rsidRPr="00443F0D">
        <w:t xml:space="preserve"> </w:t>
      </w:r>
      <w:proofErr w:type="spellStart"/>
      <w:r w:rsidRPr="00443F0D">
        <w:t>actuelles</w:t>
      </w:r>
      <w:proofErr w:type="spellEnd"/>
      <w:r w:rsidRPr="00443F0D">
        <w:t xml:space="preserve"> </w:t>
      </w:r>
      <w:proofErr w:type="spellStart"/>
      <w:r w:rsidRPr="00443F0D">
        <w:t>en</w:t>
      </w:r>
      <w:proofErr w:type="spellEnd"/>
      <w:r w:rsidRPr="00443F0D">
        <w:t xml:space="preserve"> </w:t>
      </w:r>
      <w:proofErr w:type="spellStart"/>
      <w:r w:rsidRPr="00443F0D">
        <w:t>matière</w:t>
      </w:r>
      <w:proofErr w:type="spellEnd"/>
      <w:r w:rsidRPr="00443F0D">
        <w:t xml:space="preserve"> de drogues</w:t>
      </w:r>
    </w:p>
    <w:p w:rsidR="00AA6CA1" w:rsidRPr="00443F0D" w:rsidRDefault="00AA6CA1" w:rsidP="00AA6CA1">
      <w:pPr>
        <w:pStyle w:val="ListParagraph"/>
        <w:numPr>
          <w:ilvl w:val="0"/>
          <w:numId w:val="2"/>
        </w:numPr>
      </w:pPr>
      <w:r w:rsidRPr="00627E2B">
        <w:t>existence d</w:t>
      </w:r>
      <w:r>
        <w:t>’</w:t>
      </w:r>
      <w:r w:rsidRPr="00627E2B">
        <w:t xml:space="preserve">un </w:t>
      </w:r>
      <w:proofErr w:type="spellStart"/>
      <w:r w:rsidRPr="00627E2B">
        <w:t>marché</w:t>
      </w:r>
      <w:proofErr w:type="spellEnd"/>
      <w:r w:rsidRPr="00627E2B">
        <w:t xml:space="preserve"> </w:t>
      </w:r>
      <w:proofErr w:type="spellStart"/>
      <w:r w:rsidRPr="00627E2B">
        <w:t>illégal</w:t>
      </w:r>
      <w:proofErr w:type="spellEnd"/>
      <w:r w:rsidRPr="00627E2B">
        <w:t xml:space="preserve"> </w:t>
      </w:r>
      <w:proofErr w:type="spellStart"/>
      <w:r>
        <w:t>florissant</w:t>
      </w:r>
      <w:proofErr w:type="spellEnd"/>
      <w:r w:rsidRPr="00627E2B">
        <w:t xml:space="preserve"> pour les drogues, </w:t>
      </w:r>
      <w:r>
        <w:t xml:space="preserve">qui </w:t>
      </w:r>
      <w:proofErr w:type="spellStart"/>
      <w:r>
        <w:t>enrichit</w:t>
      </w:r>
      <w:proofErr w:type="spellEnd"/>
      <w:r>
        <w:t xml:space="preserve"> les</w:t>
      </w:r>
      <w:r w:rsidRPr="00627E2B">
        <w:t xml:space="preserve"> </w:t>
      </w:r>
      <w:proofErr w:type="spellStart"/>
      <w:r w:rsidRPr="00627E2B">
        <w:t>organisations</w:t>
      </w:r>
      <w:proofErr w:type="spellEnd"/>
      <w:r w:rsidRPr="00627E2B">
        <w:t xml:space="preserve"> </w:t>
      </w:r>
      <w:proofErr w:type="spellStart"/>
      <w:r w:rsidRPr="00627E2B">
        <w:t>criminelles</w:t>
      </w:r>
      <w:proofErr w:type="spellEnd"/>
    </w:p>
    <w:p w:rsidR="00AA6CA1" w:rsidRPr="000D2679" w:rsidRDefault="00AA6CA1" w:rsidP="00AA6CA1">
      <w:pPr>
        <w:pStyle w:val="ListParagraph"/>
        <w:numPr>
          <w:ilvl w:val="0"/>
          <w:numId w:val="2"/>
        </w:numPr>
      </w:pPr>
      <w:proofErr w:type="spellStart"/>
      <w:r w:rsidRPr="00443F0D">
        <w:t>épuisement</w:t>
      </w:r>
      <w:proofErr w:type="spellEnd"/>
      <w:r w:rsidRPr="00443F0D">
        <w:t xml:space="preserve"> </w:t>
      </w:r>
      <w:proofErr w:type="spellStart"/>
      <w:r w:rsidRPr="00443F0D">
        <w:t>professionnel</w:t>
      </w:r>
      <w:proofErr w:type="spellEnd"/>
      <w:r w:rsidRPr="00443F0D">
        <w:t xml:space="preserve">, </w:t>
      </w:r>
      <w:proofErr w:type="spellStart"/>
      <w:r w:rsidRPr="00443F0D">
        <w:t>préjudice</w:t>
      </w:r>
      <w:proofErr w:type="spellEnd"/>
      <w:r w:rsidRPr="00443F0D">
        <w:t xml:space="preserve"> moral et </w:t>
      </w:r>
      <w:proofErr w:type="spellStart"/>
      <w:r w:rsidRPr="00443F0D">
        <w:t>traumatisme</w:t>
      </w:r>
      <w:proofErr w:type="spellEnd"/>
      <w:r w:rsidRPr="00443F0D">
        <w:t xml:space="preserve"> </w:t>
      </w:r>
      <w:proofErr w:type="spellStart"/>
      <w:r w:rsidRPr="00443F0D">
        <w:t>secondaire</w:t>
      </w:r>
      <w:proofErr w:type="spellEnd"/>
      <w:r w:rsidRPr="00443F0D">
        <w:t xml:space="preserve"> </w:t>
      </w:r>
      <w:proofErr w:type="spellStart"/>
      <w:r w:rsidRPr="00443F0D">
        <w:t>subis</w:t>
      </w:r>
      <w:proofErr w:type="spellEnd"/>
      <w:r w:rsidRPr="00443F0D">
        <w:t xml:space="preserve"> par les </w:t>
      </w:r>
      <w:proofErr w:type="spellStart"/>
      <w:r w:rsidRPr="00443F0D">
        <w:t>fournisseurs</w:t>
      </w:r>
      <w:proofErr w:type="spellEnd"/>
      <w:r w:rsidRPr="00443F0D">
        <w:t xml:space="preserve"> de services de santé et de services </w:t>
      </w:r>
      <w:proofErr w:type="spellStart"/>
      <w:r w:rsidRPr="00443F0D">
        <w:t>sociaux</w:t>
      </w:r>
      <w:proofErr w:type="spellEnd"/>
      <w:r w:rsidRPr="00443F0D">
        <w:t xml:space="preserve">, </w:t>
      </w:r>
      <w:proofErr w:type="spellStart"/>
      <w:r w:rsidRPr="00443F0D">
        <w:t>aggravant</w:t>
      </w:r>
      <w:proofErr w:type="spellEnd"/>
      <w:r w:rsidRPr="00443F0D">
        <w:t xml:space="preserve"> la </w:t>
      </w:r>
      <w:proofErr w:type="spellStart"/>
      <w:r w:rsidRPr="00443F0D">
        <w:t>pénurie</w:t>
      </w:r>
      <w:proofErr w:type="spellEnd"/>
      <w:r w:rsidRPr="00443F0D">
        <w:t xml:space="preserve"> déjà </w:t>
      </w:r>
      <w:proofErr w:type="spellStart"/>
      <w:r w:rsidRPr="00443F0D">
        <w:t>importante</w:t>
      </w:r>
      <w:proofErr w:type="spellEnd"/>
      <w:r w:rsidRPr="00443F0D">
        <w:t xml:space="preserve"> de </w:t>
      </w:r>
      <w:proofErr w:type="spellStart"/>
      <w:r w:rsidRPr="00443F0D">
        <w:t>prestataires</w:t>
      </w:r>
      <w:proofErr w:type="spellEnd"/>
      <w:r w:rsidRPr="00443F0D">
        <w:t xml:space="preserve"> de </w:t>
      </w:r>
      <w:proofErr w:type="spellStart"/>
      <w:r w:rsidRPr="00443F0D">
        <w:t>soins</w:t>
      </w:r>
      <w:proofErr w:type="spellEnd"/>
      <w:r w:rsidRPr="00443F0D">
        <w:t xml:space="preserve"> </w:t>
      </w:r>
      <w:proofErr w:type="spellStart"/>
      <w:r w:rsidRPr="00443F0D">
        <w:t>en</w:t>
      </w:r>
      <w:proofErr w:type="spellEnd"/>
      <w:r w:rsidRPr="00443F0D">
        <w:t xml:space="preserve"> Ontario</w:t>
      </w:r>
    </w:p>
    <w:p w:rsidR="00AA6CA1" w:rsidRPr="000D2679" w:rsidRDefault="00AA6CA1" w:rsidP="00AA6CA1">
      <w:pPr>
        <w:pStyle w:val="ListParagraph"/>
        <w:numPr>
          <w:ilvl w:val="0"/>
          <w:numId w:val="2"/>
        </w:numPr>
      </w:pPr>
      <w:proofErr w:type="spellStart"/>
      <w:r w:rsidRPr="000D2679">
        <w:t>perte</w:t>
      </w:r>
      <w:proofErr w:type="spellEnd"/>
      <w:r w:rsidRPr="000D2679">
        <w:t xml:space="preserve"> incommensurable de </w:t>
      </w:r>
      <w:proofErr w:type="spellStart"/>
      <w:r w:rsidRPr="000D2679">
        <w:t>potentiel</w:t>
      </w:r>
      <w:proofErr w:type="spellEnd"/>
      <w:r w:rsidRPr="000D2679">
        <w:t xml:space="preserve"> </w:t>
      </w:r>
      <w:proofErr w:type="spellStart"/>
      <w:r w:rsidRPr="000D2679">
        <w:t>humain</w:t>
      </w:r>
      <w:proofErr w:type="spellEnd"/>
      <w:r w:rsidRPr="000D2679">
        <w:t xml:space="preserve"> et </w:t>
      </w:r>
      <w:proofErr w:type="spellStart"/>
      <w:r w:rsidRPr="000D2679">
        <w:t>désintégration</w:t>
      </w:r>
      <w:proofErr w:type="spellEnd"/>
      <w:r w:rsidRPr="000D2679">
        <w:t xml:space="preserve"> des </w:t>
      </w:r>
      <w:proofErr w:type="spellStart"/>
      <w:r w:rsidRPr="000D2679">
        <w:t>familles</w:t>
      </w:r>
      <w:proofErr w:type="spellEnd"/>
      <w:r w:rsidRPr="000D2679">
        <w:t xml:space="preserve"> et des </w:t>
      </w:r>
      <w:proofErr w:type="spellStart"/>
      <w:r w:rsidRPr="000D2679">
        <w:t>collectivités</w:t>
      </w:r>
      <w:proofErr w:type="spellEnd"/>
      <w:r w:rsidRPr="000D2679">
        <w:t xml:space="preserve">, </w:t>
      </w:r>
      <w:proofErr w:type="spellStart"/>
      <w:r w:rsidRPr="000D2679">
        <w:t>entraînant</w:t>
      </w:r>
      <w:proofErr w:type="spellEnd"/>
      <w:r w:rsidRPr="000D2679">
        <w:t xml:space="preserve"> un cycle </w:t>
      </w:r>
      <w:proofErr w:type="spellStart"/>
      <w:r w:rsidRPr="000D2679">
        <w:t>continu</w:t>
      </w:r>
      <w:proofErr w:type="spellEnd"/>
      <w:r w:rsidRPr="000D2679">
        <w:t xml:space="preserve"> de </w:t>
      </w:r>
      <w:proofErr w:type="spellStart"/>
      <w:r w:rsidRPr="000D2679">
        <w:t>souffrances</w:t>
      </w:r>
      <w:proofErr w:type="spellEnd"/>
      <w:r w:rsidRPr="000D2679">
        <w:t xml:space="preserve"> et de </w:t>
      </w:r>
      <w:proofErr w:type="spellStart"/>
      <w:r w:rsidRPr="000D2679">
        <w:t>traumatismes</w:t>
      </w:r>
      <w:proofErr w:type="spellEnd"/>
    </w:p>
    <w:p w:rsidR="00AA6CA1" w:rsidRPr="006678AC" w:rsidRDefault="00AA6CA1" w:rsidP="00AA6CA1">
      <w:pPr>
        <w:pStyle w:val="Heading2"/>
        <w:rPr>
          <w:highlight w:val="yellow"/>
        </w:rPr>
      </w:pPr>
      <w:proofErr w:type="spellStart"/>
      <w:r w:rsidRPr="008A21AC">
        <w:t>Quelles</w:t>
      </w:r>
      <w:proofErr w:type="spellEnd"/>
      <w:r w:rsidRPr="008A21AC">
        <w:t xml:space="preserve"> </w:t>
      </w:r>
      <w:proofErr w:type="spellStart"/>
      <w:r w:rsidRPr="008A21AC">
        <w:t>mesures</w:t>
      </w:r>
      <w:proofErr w:type="spellEnd"/>
      <w:r w:rsidRPr="008A21AC">
        <w:t xml:space="preserve"> </w:t>
      </w:r>
      <w:proofErr w:type="spellStart"/>
      <w:r w:rsidRPr="008A21AC">
        <w:t>convient-il</w:t>
      </w:r>
      <w:proofErr w:type="spellEnd"/>
      <w:r w:rsidRPr="008A21AC">
        <w:t xml:space="preserve"> de </w:t>
      </w:r>
      <w:proofErr w:type="spellStart"/>
      <w:r w:rsidRPr="008A21AC">
        <w:t>prendre</w:t>
      </w:r>
      <w:proofErr w:type="spellEnd"/>
      <w:r w:rsidRPr="008A21AC">
        <w:t xml:space="preserve"> pour faire face à la </w:t>
      </w:r>
      <w:proofErr w:type="spellStart"/>
      <w:r w:rsidRPr="008A21AC">
        <w:t>crise</w:t>
      </w:r>
      <w:proofErr w:type="spellEnd"/>
      <w:r w:rsidRPr="008A21AC">
        <w:t xml:space="preserve"> des intoxications dues aux </w:t>
      </w:r>
      <w:proofErr w:type="gramStart"/>
      <w:r w:rsidRPr="008A21AC">
        <w:t>drogues?</w:t>
      </w:r>
      <w:proofErr w:type="gramEnd"/>
    </w:p>
    <w:p w:rsidR="00AA6CA1" w:rsidRPr="006678AC" w:rsidRDefault="00AA6CA1" w:rsidP="00AA6CA1">
      <w:pPr>
        <w:keepNext/>
        <w:rPr>
          <w:highlight w:val="yellow"/>
        </w:rPr>
      </w:pPr>
      <w:r w:rsidRPr="00220B7E">
        <w:t xml:space="preserve">Pour </w:t>
      </w:r>
      <w:proofErr w:type="spellStart"/>
      <w:r w:rsidRPr="00220B7E">
        <w:t>mettre</w:t>
      </w:r>
      <w:proofErr w:type="spellEnd"/>
      <w:r w:rsidRPr="00220B7E">
        <w:t xml:space="preserve"> fin à la </w:t>
      </w:r>
      <w:proofErr w:type="spellStart"/>
      <w:r w:rsidRPr="00220B7E">
        <w:t>crise</w:t>
      </w:r>
      <w:proofErr w:type="spellEnd"/>
      <w:r w:rsidRPr="00220B7E">
        <w:t xml:space="preserve"> des intoxications </w:t>
      </w:r>
      <w:proofErr w:type="spellStart"/>
      <w:r>
        <w:t>causées</w:t>
      </w:r>
      <w:proofErr w:type="spellEnd"/>
      <w:r>
        <w:t xml:space="preserve"> </w:t>
      </w:r>
      <w:r w:rsidRPr="00220B7E">
        <w:t xml:space="preserve">par les drogues, </w:t>
      </w:r>
      <w:proofErr w:type="spellStart"/>
      <w:r w:rsidRPr="00220B7E">
        <w:t>une</w:t>
      </w:r>
      <w:proofErr w:type="spellEnd"/>
      <w:r w:rsidRPr="00220B7E">
        <w:t xml:space="preserve"> </w:t>
      </w:r>
      <w:proofErr w:type="spellStart"/>
      <w:r w:rsidRPr="00220B7E">
        <w:t>réforme</w:t>
      </w:r>
      <w:proofErr w:type="spellEnd"/>
      <w:r w:rsidRPr="00220B7E">
        <w:t xml:space="preserve"> des </w:t>
      </w:r>
      <w:proofErr w:type="spellStart"/>
      <w:r w:rsidRPr="00220B7E">
        <w:t>politiques</w:t>
      </w:r>
      <w:proofErr w:type="spellEnd"/>
      <w:r w:rsidRPr="00220B7E">
        <w:t xml:space="preserve"> </w:t>
      </w:r>
      <w:proofErr w:type="spellStart"/>
      <w:r w:rsidRPr="00220B7E">
        <w:t>fédérale</w:t>
      </w:r>
      <w:proofErr w:type="spellEnd"/>
      <w:r w:rsidRPr="00220B7E">
        <w:t xml:space="preserve"> </w:t>
      </w:r>
      <w:proofErr w:type="gramStart"/>
      <w:r w:rsidRPr="00220B7E">
        <w:t>et</w:t>
      </w:r>
      <w:proofErr w:type="gramEnd"/>
      <w:r w:rsidRPr="00220B7E">
        <w:t xml:space="preserve"> </w:t>
      </w:r>
      <w:proofErr w:type="spellStart"/>
      <w:r w:rsidRPr="00220B7E">
        <w:t>provinciales</w:t>
      </w:r>
      <w:proofErr w:type="spellEnd"/>
      <w:r w:rsidRPr="00220B7E">
        <w:t xml:space="preserve"> </w:t>
      </w:r>
      <w:proofErr w:type="spellStart"/>
      <w:r w:rsidRPr="00220B7E">
        <w:t>s</w:t>
      </w:r>
      <w:r>
        <w:t>’</w:t>
      </w:r>
      <w:r w:rsidRPr="00220B7E">
        <w:t>impose</w:t>
      </w:r>
      <w:proofErr w:type="spellEnd"/>
      <w:r w:rsidRPr="00220B7E">
        <w:t>.</w:t>
      </w:r>
    </w:p>
    <w:p w:rsidR="00AA6CA1" w:rsidRDefault="00AA6CA1" w:rsidP="00AA6CA1">
      <w:r w:rsidRPr="00A31A53">
        <w:t xml:space="preserve">Le </w:t>
      </w:r>
      <w:proofErr w:type="spellStart"/>
      <w:r w:rsidRPr="00A31A53">
        <w:t>groupe</w:t>
      </w:r>
      <w:proofErr w:type="spellEnd"/>
      <w:r w:rsidRPr="00A31A53">
        <w:t xml:space="preserve"> </w:t>
      </w:r>
      <w:proofErr w:type="spellStart"/>
      <w:r w:rsidRPr="00A31A53">
        <w:t>d</w:t>
      </w:r>
      <w:r>
        <w:t>’</w:t>
      </w:r>
      <w:r w:rsidRPr="00A31A53">
        <w:t>experts</w:t>
      </w:r>
      <w:proofErr w:type="spellEnd"/>
      <w:r w:rsidRPr="00A31A53">
        <w:t xml:space="preserve"> sur la </w:t>
      </w:r>
      <w:proofErr w:type="spellStart"/>
      <w:r w:rsidRPr="00A31A53">
        <w:t>consommation</w:t>
      </w:r>
      <w:proofErr w:type="spellEnd"/>
      <w:r w:rsidRPr="00A31A53">
        <w:t xml:space="preserve"> de substances de Santé Canada </w:t>
      </w:r>
      <w:proofErr w:type="spellStart"/>
      <w:r w:rsidRPr="008349F5">
        <w:t>préconise</w:t>
      </w:r>
      <w:proofErr w:type="spellEnd"/>
      <w:r w:rsidRPr="008349F5">
        <w:t xml:space="preserve"> </w:t>
      </w:r>
      <w:proofErr w:type="spellStart"/>
      <w:r w:rsidRPr="008349F5">
        <w:t>l</w:t>
      </w:r>
      <w:r>
        <w:t>’</w:t>
      </w:r>
      <w:r w:rsidRPr="008349F5">
        <w:t>élaboration</w:t>
      </w:r>
      <w:proofErr w:type="spellEnd"/>
      <w:r w:rsidRPr="008349F5">
        <w:t xml:space="preserve"> d</w:t>
      </w:r>
      <w:r>
        <w:t>’</w:t>
      </w:r>
      <w:r w:rsidRPr="008349F5">
        <w:t xml:space="preserve">un cadre </w:t>
      </w:r>
      <w:proofErr w:type="spellStart"/>
      <w:r>
        <w:t>universel</w:t>
      </w:r>
      <w:proofErr w:type="spellEnd"/>
      <w:r>
        <w:t xml:space="preserve"> </w:t>
      </w:r>
      <w:r w:rsidRPr="008349F5">
        <w:t xml:space="preserve">de santé </w:t>
      </w:r>
      <w:proofErr w:type="spellStart"/>
      <w:r w:rsidRPr="008349F5">
        <w:t>publique</w:t>
      </w:r>
      <w:proofErr w:type="spellEnd"/>
      <w:r w:rsidRPr="008349F5">
        <w:t xml:space="preserve"> </w:t>
      </w:r>
      <w:proofErr w:type="spellStart"/>
      <w:r w:rsidRPr="008349F5">
        <w:t>comportant</w:t>
      </w:r>
      <w:proofErr w:type="spellEnd"/>
      <w:r w:rsidRPr="008349F5">
        <w:t xml:space="preserve"> des dispositions </w:t>
      </w:r>
      <w:proofErr w:type="spellStart"/>
      <w:r w:rsidRPr="008349F5">
        <w:t>réglementaires</w:t>
      </w:r>
      <w:proofErr w:type="spellEnd"/>
      <w:r w:rsidRPr="008349F5">
        <w:t xml:space="preserve"> </w:t>
      </w:r>
      <w:proofErr w:type="spellStart"/>
      <w:r w:rsidRPr="008349F5">
        <w:t>spécifiques</w:t>
      </w:r>
      <w:proofErr w:type="spellEnd"/>
      <w:r w:rsidRPr="008349F5">
        <w:t xml:space="preserve"> </w:t>
      </w:r>
      <w:r>
        <w:t xml:space="preserve">pour </w:t>
      </w:r>
      <w:proofErr w:type="spellStart"/>
      <w:r>
        <w:t>chacune</w:t>
      </w:r>
      <w:proofErr w:type="spellEnd"/>
      <w:r>
        <w:t xml:space="preserve"> d</w:t>
      </w:r>
      <w:r w:rsidRPr="008349F5">
        <w:t xml:space="preserve">es substances </w:t>
      </w:r>
      <w:proofErr w:type="spellStart"/>
      <w:r w:rsidRPr="008349F5">
        <w:t>psychoactives</w:t>
      </w:r>
      <w:proofErr w:type="spellEnd"/>
      <w:r w:rsidRPr="008349F5">
        <w:t xml:space="preserve">, </w:t>
      </w:r>
      <w:proofErr w:type="spellStart"/>
      <w:r>
        <w:t>dont</w:t>
      </w:r>
      <w:proofErr w:type="spellEnd"/>
      <w:r w:rsidRPr="008349F5">
        <w:t xml:space="preserve"> </w:t>
      </w:r>
      <w:proofErr w:type="spellStart"/>
      <w:r>
        <w:t>toutes</w:t>
      </w:r>
      <w:proofErr w:type="spellEnd"/>
      <w:r>
        <w:t xml:space="preserve"> </w:t>
      </w:r>
      <w:r w:rsidRPr="008349F5">
        <w:t xml:space="preserve">les </w:t>
      </w:r>
      <w:r>
        <w:t>substanc</w:t>
      </w:r>
      <w:r w:rsidRPr="008349F5">
        <w:t xml:space="preserve">es </w:t>
      </w:r>
      <w:proofErr w:type="spellStart"/>
      <w:r w:rsidRPr="008349F5">
        <w:t>actuellement</w:t>
      </w:r>
      <w:proofErr w:type="spellEnd"/>
      <w:r w:rsidRPr="008349F5">
        <w:t xml:space="preserve"> </w:t>
      </w:r>
      <w:proofErr w:type="spellStart"/>
      <w:r w:rsidRPr="008349F5">
        <w:t>ill</w:t>
      </w:r>
      <w:r>
        <w:t>icit</w:t>
      </w:r>
      <w:r w:rsidRPr="008349F5">
        <w:t>es</w:t>
      </w:r>
      <w:proofErr w:type="spellEnd"/>
      <w:r>
        <w:t>,</w:t>
      </w:r>
      <w:r w:rsidRPr="008349F5">
        <w:t xml:space="preserve"> </w:t>
      </w:r>
      <w:proofErr w:type="spellStart"/>
      <w:r w:rsidRPr="008349F5">
        <w:t>ainsi</w:t>
      </w:r>
      <w:proofErr w:type="spellEnd"/>
      <w:r w:rsidRPr="008349F5">
        <w:t xml:space="preserve"> que </w:t>
      </w:r>
      <w:proofErr w:type="spellStart"/>
      <w:r w:rsidRPr="008349F5">
        <w:t>l</w:t>
      </w:r>
      <w:r>
        <w:t>’</w:t>
      </w:r>
      <w:r w:rsidRPr="008349F5">
        <w:t>alcool</w:t>
      </w:r>
      <w:proofErr w:type="spellEnd"/>
      <w:r w:rsidRPr="008349F5">
        <w:t xml:space="preserve">, le </w:t>
      </w:r>
      <w:proofErr w:type="spellStart"/>
      <w:r w:rsidRPr="008349F5">
        <w:t>tabac</w:t>
      </w:r>
      <w:proofErr w:type="spellEnd"/>
      <w:r w:rsidRPr="008349F5">
        <w:t xml:space="preserve"> </w:t>
      </w:r>
      <w:proofErr w:type="gramStart"/>
      <w:r w:rsidRPr="008349F5">
        <w:t>et</w:t>
      </w:r>
      <w:proofErr w:type="gramEnd"/>
      <w:r w:rsidRPr="008349F5">
        <w:t xml:space="preserve"> le cannabis.</w:t>
      </w:r>
      <w:r>
        <w:t xml:space="preserve"> </w:t>
      </w:r>
      <w:r w:rsidRPr="002D00A5">
        <w:t xml:space="preserve">Ce cadre </w:t>
      </w:r>
      <w:proofErr w:type="spellStart"/>
      <w:r w:rsidRPr="002D00A5">
        <w:t>devrait</w:t>
      </w:r>
      <w:proofErr w:type="spellEnd"/>
      <w:r w:rsidRPr="002D00A5">
        <w:t xml:space="preserve"> </w:t>
      </w:r>
      <w:proofErr w:type="spellStart"/>
      <w:r w:rsidRPr="002D00A5">
        <w:t>viser</w:t>
      </w:r>
      <w:proofErr w:type="spellEnd"/>
      <w:r w:rsidRPr="002D00A5">
        <w:t xml:space="preserve"> à </w:t>
      </w:r>
      <w:proofErr w:type="spellStart"/>
      <w:r w:rsidRPr="002D00A5">
        <w:t>restreindre</w:t>
      </w:r>
      <w:proofErr w:type="spellEnd"/>
      <w:r w:rsidRPr="002D00A5">
        <w:t xml:space="preserve"> </w:t>
      </w:r>
      <w:proofErr w:type="spellStart"/>
      <w:r w:rsidRPr="002D00A5">
        <w:t>l</w:t>
      </w:r>
      <w:r>
        <w:t>’</w:t>
      </w:r>
      <w:r w:rsidRPr="002D00A5">
        <w:t>ampleur</w:t>
      </w:r>
      <w:proofErr w:type="spellEnd"/>
      <w:r w:rsidRPr="002D00A5">
        <w:t xml:space="preserve"> du </w:t>
      </w:r>
      <w:proofErr w:type="spellStart"/>
      <w:r w:rsidRPr="002D00A5">
        <w:t>marché</w:t>
      </w:r>
      <w:proofErr w:type="spellEnd"/>
      <w:r w:rsidRPr="002D00A5">
        <w:t xml:space="preserve"> </w:t>
      </w:r>
      <w:proofErr w:type="spellStart"/>
      <w:r w:rsidRPr="002D00A5">
        <w:t>ill</w:t>
      </w:r>
      <w:r>
        <w:t>icite</w:t>
      </w:r>
      <w:proofErr w:type="spellEnd"/>
      <w:r w:rsidRPr="002D00A5">
        <w:t xml:space="preserve">, à </w:t>
      </w:r>
      <w:proofErr w:type="spellStart"/>
      <w:r w:rsidRPr="002D00A5">
        <w:t>apporter</w:t>
      </w:r>
      <w:proofErr w:type="spellEnd"/>
      <w:r w:rsidRPr="002D00A5">
        <w:t xml:space="preserve"> de la </w:t>
      </w:r>
      <w:proofErr w:type="spellStart"/>
      <w:r w:rsidRPr="002D00A5">
        <w:t>stabilité</w:t>
      </w:r>
      <w:proofErr w:type="spellEnd"/>
      <w:r w:rsidRPr="002D00A5">
        <w:t xml:space="preserve"> </w:t>
      </w:r>
      <w:r>
        <w:t xml:space="preserve">et de la </w:t>
      </w:r>
      <w:proofErr w:type="spellStart"/>
      <w:r>
        <w:t>prévisibilité</w:t>
      </w:r>
      <w:proofErr w:type="spellEnd"/>
      <w:r>
        <w:t xml:space="preserve"> </w:t>
      </w:r>
      <w:r w:rsidRPr="002D00A5">
        <w:t xml:space="preserve">aux </w:t>
      </w:r>
      <w:proofErr w:type="spellStart"/>
      <w:r w:rsidRPr="002D00A5">
        <w:t>marchés</w:t>
      </w:r>
      <w:proofErr w:type="spellEnd"/>
      <w:r w:rsidRPr="002D00A5">
        <w:t xml:space="preserve"> </w:t>
      </w:r>
      <w:proofErr w:type="spellStart"/>
      <w:r w:rsidRPr="002D00A5">
        <w:t>réglementés</w:t>
      </w:r>
      <w:proofErr w:type="spellEnd"/>
      <w:r w:rsidRPr="002D00A5">
        <w:t xml:space="preserve"> et à donner aux </w:t>
      </w:r>
      <w:proofErr w:type="spellStart"/>
      <w:r>
        <w:t>usager</w:t>
      </w:r>
      <w:r w:rsidRPr="002D00A5">
        <w:t>s</w:t>
      </w:r>
      <w:proofErr w:type="spellEnd"/>
      <w:r>
        <w:t>,</w:t>
      </w:r>
      <w:r w:rsidRPr="002D00A5">
        <w:t xml:space="preserve"> expos</w:t>
      </w:r>
      <w:r>
        <w:t>és</w:t>
      </w:r>
      <w:r w:rsidRPr="002D00A5">
        <w:t xml:space="preserve"> à des </w:t>
      </w:r>
      <w:proofErr w:type="spellStart"/>
      <w:r w:rsidRPr="002D00A5">
        <w:t>risques</w:t>
      </w:r>
      <w:proofErr w:type="spellEnd"/>
      <w:r w:rsidRPr="002D00A5">
        <w:t xml:space="preserve"> graves, </w:t>
      </w:r>
      <w:proofErr w:type="spellStart"/>
      <w:r w:rsidRPr="002D00A5">
        <w:t>voire</w:t>
      </w:r>
      <w:proofErr w:type="spellEnd"/>
      <w:r w:rsidRPr="002D00A5">
        <w:t xml:space="preserve"> à la mort </w:t>
      </w:r>
      <w:proofErr w:type="spellStart"/>
      <w:r w:rsidRPr="002D00A5">
        <w:t>en</w:t>
      </w:r>
      <w:proofErr w:type="spellEnd"/>
      <w:r w:rsidRPr="002D00A5">
        <w:t xml:space="preserve"> raison de la </w:t>
      </w:r>
      <w:proofErr w:type="spellStart"/>
      <w:r w:rsidRPr="002D00A5">
        <w:t>toxicité</w:t>
      </w:r>
      <w:proofErr w:type="spellEnd"/>
      <w:r w:rsidRPr="002D00A5">
        <w:t xml:space="preserve"> des substances </w:t>
      </w:r>
      <w:proofErr w:type="spellStart"/>
      <w:r w:rsidRPr="002D00A5">
        <w:t>illégales</w:t>
      </w:r>
      <w:proofErr w:type="spellEnd"/>
      <w:r>
        <w:t xml:space="preserve">, un </w:t>
      </w:r>
      <w:proofErr w:type="spellStart"/>
      <w:r w:rsidRPr="002D00A5">
        <w:t>accès</w:t>
      </w:r>
      <w:proofErr w:type="spellEnd"/>
      <w:r w:rsidRPr="002D00A5">
        <w:t xml:space="preserve"> à des substances plus </w:t>
      </w:r>
      <w:proofErr w:type="spellStart"/>
      <w:r w:rsidRPr="002D00A5">
        <w:t>sûres</w:t>
      </w:r>
      <w:proofErr w:type="spellEnd"/>
      <w:r w:rsidRPr="002D00A5">
        <w:t>.</w:t>
      </w:r>
    </w:p>
    <w:p w:rsidR="00AA6CA1" w:rsidRPr="006E38CD" w:rsidRDefault="00AA6CA1" w:rsidP="00AA6CA1">
      <w:proofErr w:type="spellStart"/>
      <w:r w:rsidRPr="00D65C25">
        <w:t>En</w:t>
      </w:r>
      <w:proofErr w:type="spellEnd"/>
      <w:r w:rsidRPr="00D65C25">
        <w:t xml:space="preserve"> attendant </w:t>
      </w:r>
      <w:proofErr w:type="spellStart"/>
      <w:r w:rsidRPr="006E38CD">
        <w:t>l</w:t>
      </w:r>
      <w:r>
        <w:t>’</w:t>
      </w:r>
      <w:r w:rsidRPr="006E38CD">
        <w:t>adoption</w:t>
      </w:r>
      <w:proofErr w:type="spellEnd"/>
      <w:r w:rsidRPr="006E38CD">
        <w:t xml:space="preserve"> d</w:t>
      </w:r>
      <w:r>
        <w:t>’</w:t>
      </w:r>
      <w:r w:rsidRPr="006E38CD">
        <w:t xml:space="preserve">un </w:t>
      </w:r>
      <w:proofErr w:type="spellStart"/>
      <w:r w:rsidRPr="006E38CD">
        <w:t>tel</w:t>
      </w:r>
      <w:proofErr w:type="spellEnd"/>
      <w:r w:rsidRPr="006E38CD">
        <w:t xml:space="preserve"> cadre </w:t>
      </w:r>
      <w:proofErr w:type="spellStart"/>
      <w:r w:rsidRPr="006E38CD">
        <w:t>politique</w:t>
      </w:r>
      <w:proofErr w:type="spellEnd"/>
      <w:r w:rsidRPr="006E38CD">
        <w:t xml:space="preserve"> </w:t>
      </w:r>
      <w:proofErr w:type="spellStart"/>
      <w:r w:rsidRPr="006E38CD">
        <w:t>général</w:t>
      </w:r>
      <w:proofErr w:type="spellEnd"/>
      <w:r w:rsidRPr="006E38CD">
        <w:t xml:space="preserve"> sur les drogues, </w:t>
      </w:r>
      <w:proofErr w:type="spellStart"/>
      <w:r w:rsidRPr="006E38CD">
        <w:t>il</w:t>
      </w:r>
      <w:proofErr w:type="spellEnd"/>
      <w:r w:rsidRPr="006E38CD">
        <w:t xml:space="preserve"> </w:t>
      </w:r>
      <w:proofErr w:type="spellStart"/>
      <w:r w:rsidRPr="006E38CD">
        <w:t>est</w:t>
      </w:r>
      <w:proofErr w:type="spellEnd"/>
      <w:r w:rsidRPr="006E38CD">
        <w:t xml:space="preserve"> </w:t>
      </w:r>
      <w:proofErr w:type="spellStart"/>
      <w:r w:rsidRPr="006E38CD">
        <w:t>suggéré</w:t>
      </w:r>
      <w:proofErr w:type="spellEnd"/>
      <w:r w:rsidRPr="006E38CD">
        <w:t xml:space="preserve"> de </w:t>
      </w:r>
      <w:proofErr w:type="spellStart"/>
      <w:r w:rsidRPr="006E38CD">
        <w:t>prendre</w:t>
      </w:r>
      <w:proofErr w:type="spellEnd"/>
      <w:r w:rsidRPr="006E38CD">
        <w:t xml:space="preserve"> les </w:t>
      </w:r>
      <w:proofErr w:type="spellStart"/>
      <w:r w:rsidRPr="006E38CD">
        <w:t>mesures</w:t>
      </w:r>
      <w:proofErr w:type="spellEnd"/>
      <w:r w:rsidRPr="006E38CD">
        <w:t xml:space="preserve"> </w:t>
      </w:r>
      <w:proofErr w:type="spellStart"/>
      <w:r w:rsidRPr="006E38CD">
        <w:t>suivantes</w:t>
      </w:r>
      <w:proofErr w:type="spellEnd"/>
      <w:r w:rsidRPr="006E38CD">
        <w:t xml:space="preserve"> pour </w:t>
      </w:r>
      <w:proofErr w:type="spellStart"/>
      <w:r w:rsidRPr="006E38CD">
        <w:t>minimiser</w:t>
      </w:r>
      <w:proofErr w:type="spellEnd"/>
      <w:r w:rsidRPr="006E38CD">
        <w:t xml:space="preserve"> les </w:t>
      </w:r>
      <w:proofErr w:type="spellStart"/>
      <w:r w:rsidRPr="006E38CD">
        <w:t>coûts</w:t>
      </w:r>
      <w:proofErr w:type="spellEnd"/>
      <w:r w:rsidRPr="006E38CD">
        <w:t xml:space="preserve"> et les </w:t>
      </w:r>
      <w:proofErr w:type="spellStart"/>
      <w:proofErr w:type="gramStart"/>
      <w:r w:rsidRPr="006E38CD">
        <w:t>préjudices</w:t>
      </w:r>
      <w:proofErr w:type="spellEnd"/>
      <w:r>
        <w:t> :</w:t>
      </w:r>
      <w:proofErr w:type="gramEnd"/>
    </w:p>
    <w:p w:rsidR="00AA6CA1" w:rsidRPr="00EF2A15" w:rsidRDefault="00AA6CA1" w:rsidP="00AA6CA1">
      <w:pPr>
        <w:pStyle w:val="ListParagraph"/>
        <w:numPr>
          <w:ilvl w:val="0"/>
          <w:numId w:val="3"/>
        </w:numPr>
      </w:pPr>
      <w:proofErr w:type="spellStart"/>
      <w:r w:rsidRPr="006E38CD">
        <w:t>Veiller</w:t>
      </w:r>
      <w:proofErr w:type="spellEnd"/>
      <w:r w:rsidRPr="006E38CD">
        <w:t xml:space="preserve"> à </w:t>
      </w:r>
      <w:proofErr w:type="spellStart"/>
      <w:proofErr w:type="gramStart"/>
      <w:r w:rsidRPr="006E38CD">
        <w:t>ce</w:t>
      </w:r>
      <w:proofErr w:type="spellEnd"/>
      <w:proofErr w:type="gramEnd"/>
      <w:r w:rsidRPr="006E38CD">
        <w:t xml:space="preserve"> </w:t>
      </w:r>
      <w:r>
        <w:t xml:space="preserve">que </w:t>
      </w:r>
      <w:r w:rsidRPr="006E38CD">
        <w:t xml:space="preserve">les </w:t>
      </w:r>
      <w:proofErr w:type="spellStart"/>
      <w:r w:rsidRPr="006E38CD">
        <w:t>personnes</w:t>
      </w:r>
      <w:proofErr w:type="spellEnd"/>
      <w:r w:rsidRPr="006E38CD">
        <w:t xml:space="preserve"> </w:t>
      </w:r>
      <w:proofErr w:type="spellStart"/>
      <w:r w:rsidRPr="006E38CD">
        <w:t>ayant</w:t>
      </w:r>
      <w:proofErr w:type="spellEnd"/>
      <w:r w:rsidRPr="006E38CD">
        <w:t xml:space="preserve"> </w:t>
      </w:r>
      <w:proofErr w:type="spellStart"/>
      <w:r w:rsidRPr="006E38CD">
        <w:t>une</w:t>
      </w:r>
      <w:proofErr w:type="spellEnd"/>
      <w:r w:rsidRPr="006E38CD">
        <w:t xml:space="preserve"> </w:t>
      </w:r>
      <w:proofErr w:type="spellStart"/>
      <w:r w:rsidRPr="006E38CD">
        <w:t>dépendance</w:t>
      </w:r>
      <w:proofErr w:type="spellEnd"/>
      <w:r w:rsidRPr="006E38CD">
        <w:t xml:space="preserve"> aux </w:t>
      </w:r>
      <w:proofErr w:type="spellStart"/>
      <w:r w:rsidRPr="006E38CD">
        <w:t>opioïdes</w:t>
      </w:r>
      <w:proofErr w:type="spellEnd"/>
      <w:r w:rsidRPr="006E38CD">
        <w:t xml:space="preserve"> </w:t>
      </w:r>
      <w:proofErr w:type="spellStart"/>
      <w:r w:rsidRPr="006E38CD">
        <w:t>aient</w:t>
      </w:r>
      <w:proofErr w:type="spellEnd"/>
      <w:r w:rsidRPr="006E38CD">
        <w:t xml:space="preserve"> </w:t>
      </w:r>
      <w:proofErr w:type="spellStart"/>
      <w:r w:rsidRPr="006E38CD">
        <w:t>accès</w:t>
      </w:r>
      <w:proofErr w:type="spellEnd"/>
      <w:r w:rsidRPr="006E38CD">
        <w:t xml:space="preserve"> à des </w:t>
      </w:r>
      <w:proofErr w:type="spellStart"/>
      <w:r w:rsidRPr="006E38CD">
        <w:t>opioïdes</w:t>
      </w:r>
      <w:proofErr w:type="spellEnd"/>
      <w:r w:rsidRPr="006E38CD">
        <w:t xml:space="preserve"> de </w:t>
      </w:r>
      <w:proofErr w:type="spellStart"/>
      <w:r w:rsidRPr="006E38CD">
        <w:t>qualité</w:t>
      </w:r>
      <w:proofErr w:type="spellEnd"/>
      <w:r w:rsidRPr="006E38CD">
        <w:t xml:space="preserve"> </w:t>
      </w:r>
      <w:proofErr w:type="spellStart"/>
      <w:r w:rsidRPr="006E38CD">
        <w:t>pharmaceutique</w:t>
      </w:r>
      <w:proofErr w:type="spellEnd"/>
      <w:r w:rsidRPr="006E38CD">
        <w:t xml:space="preserve"> et </w:t>
      </w:r>
      <w:proofErr w:type="spellStart"/>
      <w:r w:rsidRPr="006E38CD">
        <w:t>qu</w:t>
      </w:r>
      <w:r>
        <w:t>’e</w:t>
      </w:r>
      <w:r w:rsidRPr="006E38CD">
        <w:t>l</w:t>
      </w:r>
      <w:r>
        <w:t>le</w:t>
      </w:r>
      <w:r w:rsidRPr="006E38CD">
        <w:t>s</w:t>
      </w:r>
      <w:proofErr w:type="spellEnd"/>
      <w:r w:rsidRPr="006E38CD">
        <w:t xml:space="preserve"> les </w:t>
      </w:r>
      <w:proofErr w:type="spellStart"/>
      <w:r w:rsidRPr="006E38CD">
        <w:t>obtiennent</w:t>
      </w:r>
      <w:proofErr w:type="spellEnd"/>
      <w:r w:rsidRPr="006E38CD">
        <w:t xml:space="preserve"> </w:t>
      </w:r>
      <w:proofErr w:type="spellStart"/>
      <w:r w:rsidRPr="006E38CD">
        <w:t>dans</w:t>
      </w:r>
      <w:proofErr w:type="spellEnd"/>
      <w:r w:rsidRPr="006E38CD">
        <w:t xml:space="preserve"> le cadre d</w:t>
      </w:r>
      <w:r>
        <w:t>’</w:t>
      </w:r>
      <w:r w:rsidRPr="006E38CD">
        <w:t xml:space="preserve">un </w:t>
      </w:r>
      <w:proofErr w:type="spellStart"/>
      <w:r w:rsidRPr="006E38CD">
        <w:t>modèle</w:t>
      </w:r>
      <w:proofErr w:type="spellEnd"/>
      <w:r w:rsidRPr="006E38CD">
        <w:t xml:space="preserve"> de </w:t>
      </w:r>
      <w:proofErr w:type="spellStart"/>
      <w:r w:rsidRPr="006E38CD">
        <w:t>soins</w:t>
      </w:r>
      <w:proofErr w:type="spellEnd"/>
      <w:r w:rsidRPr="006E38CD">
        <w:t xml:space="preserve"> </w:t>
      </w:r>
      <w:proofErr w:type="spellStart"/>
      <w:r w:rsidRPr="006E38CD">
        <w:t>incluant</w:t>
      </w:r>
      <w:proofErr w:type="spellEnd"/>
      <w:r w:rsidRPr="006E38CD">
        <w:t xml:space="preserve"> un </w:t>
      </w:r>
      <w:proofErr w:type="spellStart"/>
      <w:r w:rsidRPr="006E38CD">
        <w:t>soutien</w:t>
      </w:r>
      <w:proofErr w:type="spellEnd"/>
      <w:r w:rsidRPr="006E38CD">
        <w:t xml:space="preserve"> </w:t>
      </w:r>
      <w:proofErr w:type="spellStart"/>
      <w:r w:rsidRPr="00EF2A15">
        <w:t>médical</w:t>
      </w:r>
      <w:proofErr w:type="spellEnd"/>
      <w:r w:rsidRPr="00EF2A15">
        <w:t xml:space="preserve"> et psychosocial.</w:t>
      </w:r>
    </w:p>
    <w:p w:rsidR="00AA6CA1" w:rsidRPr="00D52A18" w:rsidRDefault="00AA6CA1" w:rsidP="00AA6CA1">
      <w:pPr>
        <w:pStyle w:val="ListParagraph"/>
        <w:numPr>
          <w:ilvl w:val="0"/>
          <w:numId w:val="3"/>
        </w:numPr>
      </w:pPr>
      <w:proofErr w:type="spellStart"/>
      <w:r w:rsidRPr="00EF2A15">
        <w:t>Offrir</w:t>
      </w:r>
      <w:proofErr w:type="spellEnd"/>
      <w:r w:rsidRPr="00EF2A15">
        <w:t xml:space="preserve"> </w:t>
      </w:r>
      <w:proofErr w:type="spellStart"/>
      <w:r w:rsidRPr="00EF2A15">
        <w:t>toute</w:t>
      </w:r>
      <w:proofErr w:type="spellEnd"/>
      <w:r w:rsidRPr="00EF2A15">
        <w:t xml:space="preserve"> </w:t>
      </w:r>
      <w:proofErr w:type="spellStart"/>
      <w:r w:rsidRPr="00EF2A15">
        <w:t>une</w:t>
      </w:r>
      <w:proofErr w:type="spellEnd"/>
      <w:r w:rsidRPr="00EF2A15">
        <w:t xml:space="preserve"> </w:t>
      </w:r>
      <w:proofErr w:type="spellStart"/>
      <w:r w:rsidRPr="00EF2A15">
        <w:t>gamme</w:t>
      </w:r>
      <w:proofErr w:type="spellEnd"/>
      <w:r w:rsidRPr="00EF2A15">
        <w:t xml:space="preserve"> de services de </w:t>
      </w:r>
      <w:proofErr w:type="spellStart"/>
      <w:r w:rsidRPr="00EF2A15">
        <w:t>traitement</w:t>
      </w:r>
      <w:proofErr w:type="spellEnd"/>
      <w:r w:rsidRPr="00EF2A15">
        <w:t xml:space="preserve"> et de </w:t>
      </w:r>
      <w:proofErr w:type="spellStart"/>
      <w:r w:rsidRPr="00EF2A15">
        <w:t>réduction</w:t>
      </w:r>
      <w:proofErr w:type="spellEnd"/>
      <w:r w:rsidRPr="00EF2A15">
        <w:t xml:space="preserve"> des </w:t>
      </w:r>
      <w:proofErr w:type="spellStart"/>
      <w:r w:rsidRPr="00EF2A15">
        <w:t>méfaits</w:t>
      </w:r>
      <w:proofErr w:type="spellEnd"/>
      <w:r w:rsidRPr="00EF2A15">
        <w:t xml:space="preserve"> </w:t>
      </w:r>
      <w:proofErr w:type="spellStart"/>
      <w:r w:rsidRPr="00EF2A15">
        <w:t>fondés</w:t>
      </w:r>
      <w:proofErr w:type="spellEnd"/>
      <w:r w:rsidRPr="00EF2A15">
        <w:t xml:space="preserve"> sur des </w:t>
      </w:r>
      <w:proofErr w:type="spellStart"/>
      <w:r w:rsidRPr="00EF2A15">
        <w:t>données</w:t>
      </w:r>
      <w:proofErr w:type="spellEnd"/>
      <w:r w:rsidRPr="00EF2A15">
        <w:t xml:space="preserve"> probantes</w:t>
      </w:r>
      <w:r w:rsidRPr="00EF2A15">
        <w:rPr>
          <w:vertAlign w:val="superscript"/>
        </w:rPr>
        <w:t>4,5,6</w:t>
      </w:r>
      <w:r w:rsidRPr="00EF2A15">
        <w:t xml:space="preserve"> et </w:t>
      </w:r>
      <w:proofErr w:type="spellStart"/>
      <w:r w:rsidRPr="00EF2A15">
        <w:t>répondant</w:t>
      </w:r>
      <w:proofErr w:type="spellEnd"/>
      <w:r w:rsidRPr="00EF2A15">
        <w:t xml:space="preserve"> aux </w:t>
      </w:r>
      <w:proofErr w:type="spellStart"/>
      <w:r w:rsidRPr="00EF2A15">
        <w:t>besoins</w:t>
      </w:r>
      <w:proofErr w:type="spellEnd"/>
      <w:r w:rsidRPr="00EF2A15">
        <w:t xml:space="preserve"> </w:t>
      </w:r>
      <w:proofErr w:type="spellStart"/>
      <w:r w:rsidRPr="00EF2A15">
        <w:t>spécifiques</w:t>
      </w:r>
      <w:proofErr w:type="spellEnd"/>
      <w:r w:rsidRPr="00EF2A15">
        <w:t xml:space="preserve"> de </w:t>
      </w:r>
      <w:proofErr w:type="spellStart"/>
      <w:r w:rsidRPr="00EF2A15">
        <w:t>chaque</w:t>
      </w:r>
      <w:proofErr w:type="spellEnd"/>
      <w:r w:rsidRPr="00EF2A15">
        <w:t xml:space="preserve"> </w:t>
      </w:r>
      <w:proofErr w:type="spellStart"/>
      <w:r w:rsidRPr="00EF2A15">
        <w:t>collectivité</w:t>
      </w:r>
      <w:proofErr w:type="spellEnd"/>
      <w:r w:rsidRPr="00EF2A15">
        <w:t xml:space="preserve">, </w:t>
      </w:r>
      <w:proofErr w:type="spellStart"/>
      <w:r w:rsidRPr="00EF2A15">
        <w:t>dont</w:t>
      </w:r>
      <w:proofErr w:type="spellEnd"/>
      <w:r w:rsidRPr="00EF2A15">
        <w:t xml:space="preserve"> des services </w:t>
      </w:r>
      <w:proofErr w:type="spellStart"/>
      <w:r w:rsidRPr="00EF2A15">
        <w:t>visant</w:t>
      </w:r>
      <w:proofErr w:type="spellEnd"/>
      <w:r w:rsidRPr="00EF2A15">
        <w:t xml:space="preserve"> à </w:t>
      </w:r>
      <w:proofErr w:type="spellStart"/>
      <w:r w:rsidRPr="00EF2A15">
        <w:t>réduire</w:t>
      </w:r>
      <w:proofErr w:type="spellEnd"/>
      <w:r w:rsidRPr="00EF2A15">
        <w:t xml:space="preserve"> les </w:t>
      </w:r>
      <w:proofErr w:type="spellStart"/>
      <w:r w:rsidRPr="00EF2A15">
        <w:t>décès</w:t>
      </w:r>
      <w:proofErr w:type="spellEnd"/>
      <w:r w:rsidRPr="00EF2A15">
        <w:t xml:space="preserve"> par intoxication : </w:t>
      </w:r>
      <w:proofErr w:type="spellStart"/>
      <w:r w:rsidRPr="00EF2A15">
        <w:t>centres</w:t>
      </w:r>
      <w:proofErr w:type="spellEnd"/>
      <w:r w:rsidRPr="00EF2A15">
        <w:t xml:space="preserve"> </w:t>
      </w:r>
      <w:proofErr w:type="spellStart"/>
      <w:r>
        <w:t>supervisés</w:t>
      </w:r>
      <w:proofErr w:type="spellEnd"/>
      <w:r w:rsidRPr="00EF2A15">
        <w:t xml:space="preserve"> pour la </w:t>
      </w:r>
      <w:proofErr w:type="spellStart"/>
      <w:r w:rsidRPr="00EF2A15">
        <w:t>sécurité</w:t>
      </w:r>
      <w:proofErr w:type="spellEnd"/>
      <w:r w:rsidRPr="00EF2A15">
        <w:t xml:space="preserve"> des </w:t>
      </w:r>
      <w:r w:rsidRPr="00D52A18">
        <w:lastRenderedPageBreak/>
        <w:t>injections et des inhalations</w:t>
      </w:r>
      <w:r>
        <w:t xml:space="preserve">, avec </w:t>
      </w:r>
      <w:proofErr w:type="spellStart"/>
      <w:r>
        <w:t>possibilité</w:t>
      </w:r>
      <w:proofErr w:type="spellEnd"/>
      <w:r w:rsidRPr="00D52A18">
        <w:t xml:space="preserve"> </w:t>
      </w:r>
      <w:r>
        <w:t>d</w:t>
      </w:r>
      <w:r w:rsidRPr="00D52A18">
        <w:t xml:space="preserve">e </w:t>
      </w:r>
      <w:proofErr w:type="spellStart"/>
      <w:r w:rsidRPr="00D52A18">
        <w:t>traitement</w:t>
      </w:r>
      <w:proofErr w:type="spellEnd"/>
      <w:r w:rsidRPr="00D52A18">
        <w:t xml:space="preserve">, services de </w:t>
      </w:r>
      <w:proofErr w:type="spellStart"/>
      <w:r w:rsidRPr="00D52A18">
        <w:t>vérification</w:t>
      </w:r>
      <w:proofErr w:type="spellEnd"/>
      <w:r w:rsidRPr="00D52A18">
        <w:t xml:space="preserve"> de la </w:t>
      </w:r>
      <w:proofErr w:type="spellStart"/>
      <w:r w:rsidRPr="00D52A18">
        <w:t>qualité</w:t>
      </w:r>
      <w:proofErr w:type="spellEnd"/>
      <w:r w:rsidRPr="00D52A18">
        <w:t xml:space="preserve"> des drogues, etc.</w:t>
      </w:r>
    </w:p>
    <w:p w:rsidR="00AA6CA1" w:rsidRPr="00EC3C20" w:rsidRDefault="00AA6CA1" w:rsidP="00AA6CA1">
      <w:pPr>
        <w:pStyle w:val="ListParagraph"/>
        <w:numPr>
          <w:ilvl w:val="0"/>
          <w:numId w:val="3"/>
        </w:numPr>
      </w:pPr>
      <w:proofErr w:type="spellStart"/>
      <w:r w:rsidRPr="00EC3C20">
        <w:t>Veiller</w:t>
      </w:r>
      <w:proofErr w:type="spellEnd"/>
      <w:r w:rsidRPr="00EC3C20">
        <w:t xml:space="preserve"> à </w:t>
      </w:r>
      <w:proofErr w:type="spellStart"/>
      <w:proofErr w:type="gramStart"/>
      <w:r w:rsidRPr="00EC3C20">
        <w:t>ce</w:t>
      </w:r>
      <w:proofErr w:type="spellEnd"/>
      <w:proofErr w:type="gramEnd"/>
      <w:r w:rsidRPr="00EC3C20">
        <w:t xml:space="preserve"> que les </w:t>
      </w:r>
      <w:proofErr w:type="spellStart"/>
      <w:r w:rsidRPr="00EC3C20">
        <w:t>personnes</w:t>
      </w:r>
      <w:proofErr w:type="spellEnd"/>
      <w:r w:rsidRPr="00EC3C20">
        <w:t xml:space="preserve"> qui </w:t>
      </w:r>
      <w:proofErr w:type="spellStart"/>
      <w:r w:rsidRPr="00EC3C20">
        <w:t>utilisent</w:t>
      </w:r>
      <w:proofErr w:type="spellEnd"/>
      <w:r w:rsidRPr="00EC3C20">
        <w:t xml:space="preserve"> des drogues </w:t>
      </w:r>
      <w:proofErr w:type="spellStart"/>
      <w:r>
        <w:t>soient</w:t>
      </w:r>
      <w:proofErr w:type="spellEnd"/>
      <w:r>
        <w:t xml:space="preserve"> </w:t>
      </w:r>
      <w:proofErr w:type="spellStart"/>
      <w:r>
        <w:t>consultées</w:t>
      </w:r>
      <w:proofErr w:type="spellEnd"/>
      <w:r>
        <w:t xml:space="preserve"> et </w:t>
      </w:r>
      <w:proofErr w:type="spellStart"/>
      <w:r w:rsidRPr="00EC3C20">
        <w:t>participent</w:t>
      </w:r>
      <w:proofErr w:type="spellEnd"/>
      <w:r w:rsidRPr="00EC3C20">
        <w:t xml:space="preserve"> de </w:t>
      </w:r>
      <w:proofErr w:type="spellStart"/>
      <w:r w:rsidRPr="00EC3C20">
        <w:t>manière</w:t>
      </w:r>
      <w:proofErr w:type="spellEnd"/>
      <w:r w:rsidRPr="00EC3C20">
        <w:t xml:space="preserve"> effective à </w:t>
      </w:r>
      <w:proofErr w:type="spellStart"/>
      <w:r w:rsidRPr="00EC3C20">
        <w:t>toutes</w:t>
      </w:r>
      <w:proofErr w:type="spellEnd"/>
      <w:r w:rsidRPr="00EC3C20">
        <w:t xml:space="preserve"> les </w:t>
      </w:r>
      <w:proofErr w:type="spellStart"/>
      <w:r w:rsidRPr="00EC3C20">
        <w:t>décisions</w:t>
      </w:r>
      <w:proofErr w:type="spellEnd"/>
      <w:r w:rsidRPr="00EC3C20">
        <w:t xml:space="preserve"> </w:t>
      </w:r>
      <w:proofErr w:type="spellStart"/>
      <w:r w:rsidRPr="00EC3C20">
        <w:t>concernant</w:t>
      </w:r>
      <w:proofErr w:type="spellEnd"/>
      <w:r w:rsidRPr="00EC3C20">
        <w:t xml:space="preserve"> les propositions de solutions</w:t>
      </w:r>
      <w:r w:rsidRPr="00EC3C20">
        <w:rPr>
          <w:vertAlign w:val="superscript"/>
        </w:rPr>
        <w:t>6</w:t>
      </w:r>
      <w:r w:rsidRPr="00EC3C20">
        <w:t>.</w:t>
      </w:r>
    </w:p>
    <w:p w:rsidR="00AA6CA1" w:rsidRPr="00C429F3" w:rsidRDefault="00AA6CA1" w:rsidP="00AA6CA1">
      <w:pPr>
        <w:pStyle w:val="ListParagraph"/>
        <w:numPr>
          <w:ilvl w:val="0"/>
          <w:numId w:val="3"/>
        </w:numPr>
      </w:pPr>
      <w:proofErr w:type="spellStart"/>
      <w:r w:rsidRPr="00C429F3">
        <w:rPr>
          <w:rFonts w:cstheme="minorHAnsi"/>
        </w:rPr>
        <w:t>Œ</w:t>
      </w:r>
      <w:r w:rsidRPr="00C429F3">
        <w:t>uvrer</w:t>
      </w:r>
      <w:proofErr w:type="spellEnd"/>
      <w:r w:rsidRPr="00C429F3">
        <w:t xml:space="preserve"> à </w:t>
      </w:r>
      <w:proofErr w:type="spellStart"/>
      <w:r w:rsidRPr="00C429F3">
        <w:t>l</w:t>
      </w:r>
      <w:r>
        <w:t>’</w:t>
      </w:r>
      <w:r w:rsidRPr="00C429F3">
        <w:t>élimination</w:t>
      </w:r>
      <w:proofErr w:type="spellEnd"/>
      <w:r w:rsidRPr="00C429F3">
        <w:t xml:space="preserve"> de la </w:t>
      </w:r>
      <w:proofErr w:type="spellStart"/>
      <w:r w:rsidRPr="00C429F3">
        <w:t>stigmatisation</w:t>
      </w:r>
      <w:proofErr w:type="spellEnd"/>
      <w:r w:rsidRPr="00C429F3">
        <w:t xml:space="preserve"> </w:t>
      </w:r>
      <w:proofErr w:type="spellStart"/>
      <w:r w:rsidRPr="00C429F3">
        <w:t>systémique</w:t>
      </w:r>
      <w:proofErr w:type="spellEnd"/>
      <w:r w:rsidRPr="00C429F3">
        <w:t xml:space="preserve"> qui </w:t>
      </w:r>
      <w:proofErr w:type="spellStart"/>
      <w:r w:rsidRPr="00C429F3">
        <w:t>décourage</w:t>
      </w:r>
      <w:proofErr w:type="spellEnd"/>
      <w:r w:rsidRPr="00C429F3">
        <w:t xml:space="preserve"> les </w:t>
      </w:r>
      <w:proofErr w:type="spellStart"/>
      <w:r w:rsidRPr="00C429F3">
        <w:t>personnes</w:t>
      </w:r>
      <w:proofErr w:type="spellEnd"/>
      <w:r w:rsidRPr="00C429F3">
        <w:t xml:space="preserve"> qui </w:t>
      </w:r>
      <w:proofErr w:type="spellStart"/>
      <w:r w:rsidRPr="00C429F3">
        <w:t>utilisent</w:t>
      </w:r>
      <w:proofErr w:type="spellEnd"/>
      <w:r w:rsidRPr="00C429F3">
        <w:t xml:space="preserve"> des drogues de </w:t>
      </w:r>
      <w:proofErr w:type="spellStart"/>
      <w:r w:rsidRPr="00C429F3">
        <w:t>recourir</w:t>
      </w:r>
      <w:proofErr w:type="spellEnd"/>
      <w:r w:rsidRPr="00C429F3">
        <w:t xml:space="preserve"> à des services de santé</w:t>
      </w:r>
      <w:r w:rsidRPr="00C429F3">
        <w:rPr>
          <w:vertAlign w:val="superscript"/>
        </w:rPr>
        <w:t>4</w:t>
      </w:r>
      <w:proofErr w:type="gramStart"/>
      <w:r w:rsidRPr="00C429F3">
        <w:rPr>
          <w:vertAlign w:val="superscript"/>
        </w:rPr>
        <w:t>,7</w:t>
      </w:r>
      <w:proofErr w:type="gramEnd"/>
      <w:r w:rsidRPr="00C429F3">
        <w:t>.</w:t>
      </w:r>
    </w:p>
    <w:p w:rsidR="00AA6CA1" w:rsidRPr="00C429F3" w:rsidRDefault="00AA6CA1" w:rsidP="00AA6CA1">
      <w:pPr>
        <w:pStyle w:val="ListParagraph"/>
        <w:numPr>
          <w:ilvl w:val="0"/>
          <w:numId w:val="3"/>
        </w:numPr>
      </w:pPr>
      <w:proofErr w:type="spellStart"/>
      <w:r w:rsidRPr="00C429F3">
        <w:t>Maximiser</w:t>
      </w:r>
      <w:proofErr w:type="spellEnd"/>
      <w:r w:rsidRPr="00C429F3">
        <w:t xml:space="preserve"> les </w:t>
      </w:r>
      <w:proofErr w:type="spellStart"/>
      <w:r w:rsidRPr="00C429F3">
        <w:t>investissements</w:t>
      </w:r>
      <w:proofErr w:type="spellEnd"/>
      <w:r w:rsidRPr="00C429F3">
        <w:t xml:space="preserve"> </w:t>
      </w:r>
      <w:proofErr w:type="spellStart"/>
      <w:r w:rsidRPr="00C429F3">
        <w:t>dans</w:t>
      </w:r>
      <w:proofErr w:type="spellEnd"/>
      <w:r w:rsidRPr="00C429F3">
        <w:t xml:space="preserve"> les services de </w:t>
      </w:r>
      <w:proofErr w:type="spellStart"/>
      <w:r w:rsidRPr="00C429F3">
        <w:t>prévention</w:t>
      </w:r>
      <w:proofErr w:type="spellEnd"/>
      <w:r w:rsidRPr="00C429F3">
        <w:t xml:space="preserve"> et </w:t>
      </w:r>
      <w:proofErr w:type="spellStart"/>
      <w:r w:rsidRPr="00C429F3">
        <w:t>d</w:t>
      </w:r>
      <w:r>
        <w:t>’</w:t>
      </w:r>
      <w:r w:rsidRPr="00C429F3">
        <w:t>intervention</w:t>
      </w:r>
      <w:proofErr w:type="spellEnd"/>
      <w:r w:rsidRPr="00C429F3">
        <w:t xml:space="preserve"> </w:t>
      </w:r>
      <w:proofErr w:type="spellStart"/>
      <w:r w:rsidRPr="00C429F3">
        <w:t>précoce</w:t>
      </w:r>
      <w:proofErr w:type="spellEnd"/>
      <w:r w:rsidRPr="00C429F3">
        <w:t xml:space="preserve"> qui </w:t>
      </w:r>
      <w:proofErr w:type="spellStart"/>
      <w:r>
        <w:t>favorisent</w:t>
      </w:r>
      <w:proofErr w:type="spellEnd"/>
      <w:r w:rsidRPr="00C429F3">
        <w:t xml:space="preserve"> la santé, la </w:t>
      </w:r>
      <w:proofErr w:type="spellStart"/>
      <w:r w:rsidRPr="00C429F3">
        <w:t>sécurité</w:t>
      </w:r>
      <w:proofErr w:type="spellEnd"/>
      <w:r w:rsidRPr="00C429F3">
        <w:t xml:space="preserve"> et </w:t>
      </w:r>
      <w:r>
        <w:t>le</w:t>
      </w:r>
      <w:r w:rsidRPr="00C429F3">
        <w:t xml:space="preserve"> </w:t>
      </w:r>
      <w:proofErr w:type="spellStart"/>
      <w:r w:rsidRPr="00C429F3">
        <w:t>bien-être</w:t>
      </w:r>
      <w:proofErr w:type="spellEnd"/>
      <w:r w:rsidRPr="00C429F3">
        <w:t xml:space="preserve"> des </w:t>
      </w:r>
      <w:proofErr w:type="spellStart"/>
      <w:r w:rsidRPr="00C429F3">
        <w:t>personnes</w:t>
      </w:r>
      <w:proofErr w:type="spellEnd"/>
      <w:r w:rsidRPr="00C429F3">
        <w:t xml:space="preserve">, des </w:t>
      </w:r>
      <w:proofErr w:type="spellStart"/>
      <w:r w:rsidRPr="00C429F3">
        <w:t>familles</w:t>
      </w:r>
      <w:proofErr w:type="spellEnd"/>
      <w:r w:rsidRPr="00C429F3">
        <w:t xml:space="preserve"> et des collectivités</w:t>
      </w:r>
      <w:r w:rsidRPr="009D0C5B">
        <w:rPr>
          <w:vertAlign w:val="superscript"/>
        </w:rPr>
        <w:t>4</w:t>
      </w:r>
      <w:r w:rsidRPr="005800E0">
        <w:t xml:space="preserve"> </w:t>
      </w:r>
      <w:r w:rsidRPr="00C429F3">
        <w:t>(p.</w:t>
      </w:r>
      <w:r>
        <w:t> </w:t>
      </w:r>
      <w:r w:rsidRPr="00C429F3">
        <w:t>ex.</w:t>
      </w:r>
      <w:r>
        <w:t> </w:t>
      </w:r>
      <w:r w:rsidRPr="00C429F3">
        <w:t xml:space="preserve">services de </w:t>
      </w:r>
      <w:proofErr w:type="spellStart"/>
      <w:r w:rsidRPr="00C429F3">
        <w:t>logement</w:t>
      </w:r>
      <w:proofErr w:type="spellEnd"/>
      <w:r w:rsidRPr="00C429F3">
        <w:t xml:space="preserve">, allocation </w:t>
      </w:r>
      <w:proofErr w:type="spellStart"/>
      <w:r w:rsidRPr="00C429F3">
        <w:t>universelle</w:t>
      </w:r>
      <w:proofErr w:type="spellEnd"/>
      <w:r w:rsidRPr="00C429F3">
        <w:t xml:space="preserve">, aide à </w:t>
      </w:r>
      <w:proofErr w:type="spellStart"/>
      <w:r w:rsidRPr="00C429F3">
        <w:t>l</w:t>
      </w:r>
      <w:r>
        <w:t>’</w:t>
      </w:r>
      <w:r w:rsidRPr="00C429F3">
        <w:t>emploi</w:t>
      </w:r>
      <w:proofErr w:type="spellEnd"/>
      <w:r w:rsidRPr="00C429F3">
        <w:t xml:space="preserve">, </w:t>
      </w:r>
      <w:proofErr w:type="spellStart"/>
      <w:r w:rsidRPr="00C429F3">
        <w:t>garde</w:t>
      </w:r>
      <w:proofErr w:type="spellEnd"/>
      <w:r w:rsidRPr="00C429F3">
        <w:t xml:space="preserve"> </w:t>
      </w:r>
      <w:proofErr w:type="spellStart"/>
      <w:r w:rsidRPr="00C429F3">
        <w:t>d</w:t>
      </w:r>
      <w:r>
        <w:t>’</w:t>
      </w:r>
      <w:r w:rsidRPr="00C429F3">
        <w:t>enfants</w:t>
      </w:r>
      <w:proofErr w:type="spellEnd"/>
      <w:r w:rsidRPr="00C429F3">
        <w:t xml:space="preserve">, </w:t>
      </w:r>
      <w:proofErr w:type="spellStart"/>
      <w:r w:rsidRPr="00C429F3">
        <w:t>sécurité</w:t>
      </w:r>
      <w:proofErr w:type="spellEnd"/>
      <w:r w:rsidRPr="00C429F3">
        <w:t xml:space="preserve"> </w:t>
      </w:r>
      <w:proofErr w:type="spellStart"/>
      <w:r w:rsidRPr="00C429F3">
        <w:t>alimentaire</w:t>
      </w:r>
      <w:proofErr w:type="spellEnd"/>
      <w:r w:rsidRPr="00C429F3">
        <w:t xml:space="preserve">, </w:t>
      </w:r>
      <w:proofErr w:type="spellStart"/>
      <w:r w:rsidRPr="00C429F3">
        <w:t>éducation</w:t>
      </w:r>
      <w:proofErr w:type="spellEnd"/>
      <w:r w:rsidRPr="00C429F3">
        <w:t xml:space="preserve"> et </w:t>
      </w:r>
      <w:proofErr w:type="spellStart"/>
      <w:r w:rsidRPr="00C429F3">
        <w:t>autres</w:t>
      </w:r>
      <w:proofErr w:type="spellEnd"/>
      <w:r w:rsidRPr="00C429F3">
        <w:t xml:space="preserve"> services </w:t>
      </w:r>
      <w:proofErr w:type="spellStart"/>
      <w:r>
        <w:t>ayant</w:t>
      </w:r>
      <w:proofErr w:type="spellEnd"/>
      <w:r w:rsidRPr="00C429F3">
        <w:t xml:space="preserve"> </w:t>
      </w:r>
      <w:r>
        <w:t xml:space="preserve">un </w:t>
      </w:r>
      <w:proofErr w:type="spellStart"/>
      <w:r>
        <w:t>effet</w:t>
      </w:r>
      <w:proofErr w:type="spellEnd"/>
      <w:r>
        <w:t xml:space="preserve"> </w:t>
      </w:r>
      <w:r w:rsidRPr="00C429F3">
        <w:t xml:space="preserve">sur les </w:t>
      </w:r>
      <w:proofErr w:type="spellStart"/>
      <w:r w:rsidRPr="00C429F3">
        <w:t>déterminants</w:t>
      </w:r>
      <w:proofErr w:type="spellEnd"/>
      <w:r w:rsidRPr="00C429F3">
        <w:t xml:space="preserve"> </w:t>
      </w:r>
      <w:proofErr w:type="spellStart"/>
      <w:r w:rsidRPr="00C429F3">
        <w:t>sociaux</w:t>
      </w:r>
      <w:proofErr w:type="spellEnd"/>
      <w:r w:rsidRPr="00C429F3">
        <w:t xml:space="preserve"> de la santé).</w:t>
      </w:r>
    </w:p>
    <w:p w:rsidR="00AA6CA1" w:rsidRDefault="00AA6CA1" w:rsidP="00AA6CA1">
      <w:pPr>
        <w:pStyle w:val="Heading3"/>
      </w:pPr>
      <w:proofErr w:type="spellStart"/>
      <w:proofErr w:type="gramStart"/>
      <w:r w:rsidRPr="00C429F3">
        <w:t>Références</w:t>
      </w:r>
      <w:proofErr w:type="spellEnd"/>
      <w:r w:rsidRPr="00C429F3">
        <w:t> :</w:t>
      </w:r>
      <w:proofErr w:type="gramEnd"/>
    </w:p>
    <w:p w:rsidR="00AA6CA1" w:rsidRPr="0095527D" w:rsidRDefault="00AA6CA1" w:rsidP="00AA6CA1">
      <w:pPr>
        <w:numPr>
          <w:ilvl w:val="0"/>
          <w:numId w:val="4"/>
        </w:numPr>
      </w:pPr>
      <w:r>
        <w:t xml:space="preserve">Santé </w:t>
      </w:r>
      <w:proofErr w:type="spellStart"/>
      <w:r>
        <w:t>p</w:t>
      </w:r>
      <w:r w:rsidRPr="0095527D">
        <w:t>ubli</w:t>
      </w:r>
      <w:r>
        <w:t>que</w:t>
      </w:r>
      <w:proofErr w:type="spellEnd"/>
      <w:r w:rsidRPr="0095527D">
        <w:t xml:space="preserve"> Ontario</w:t>
      </w:r>
      <w:r>
        <w:t>.</w:t>
      </w:r>
      <w:r w:rsidRPr="0095527D">
        <w:t xml:space="preserve"> </w:t>
      </w:r>
      <w:proofErr w:type="spellStart"/>
      <w:r w:rsidRPr="005F1D3D">
        <w:rPr>
          <w:i/>
          <w:iCs/>
        </w:rPr>
        <w:t>L</w:t>
      </w:r>
      <w:r>
        <w:rPr>
          <w:i/>
          <w:iCs/>
        </w:rPr>
        <w:t>’</w:t>
      </w:r>
      <w:r w:rsidRPr="005F1D3D">
        <w:rPr>
          <w:i/>
          <w:iCs/>
        </w:rPr>
        <w:t>outil</w:t>
      </w:r>
      <w:proofErr w:type="spellEnd"/>
      <w:r w:rsidRPr="005F1D3D">
        <w:rPr>
          <w:i/>
          <w:iCs/>
        </w:rPr>
        <w:t xml:space="preserve"> </w:t>
      </w:r>
      <w:proofErr w:type="spellStart"/>
      <w:r w:rsidRPr="005F1D3D">
        <w:rPr>
          <w:i/>
          <w:iCs/>
        </w:rPr>
        <w:t>interactif</w:t>
      </w:r>
      <w:proofErr w:type="spellEnd"/>
      <w:r w:rsidRPr="005F1D3D">
        <w:rPr>
          <w:i/>
          <w:iCs/>
        </w:rPr>
        <w:t xml:space="preserve"> sur les </w:t>
      </w:r>
      <w:proofErr w:type="spellStart"/>
      <w:r w:rsidRPr="005F1D3D">
        <w:rPr>
          <w:i/>
          <w:iCs/>
        </w:rPr>
        <w:t>opioïdes</w:t>
      </w:r>
      <w:proofErr w:type="spellEnd"/>
      <w:r>
        <w:t xml:space="preserve"> – </w:t>
      </w:r>
      <w:proofErr w:type="spellStart"/>
      <w:r w:rsidRPr="005F1D3D">
        <w:rPr>
          <w:i/>
          <w:iCs/>
        </w:rPr>
        <w:t>Morbidité</w:t>
      </w:r>
      <w:proofErr w:type="spellEnd"/>
      <w:r w:rsidRPr="005F1D3D">
        <w:rPr>
          <w:i/>
          <w:iCs/>
        </w:rPr>
        <w:t xml:space="preserve"> </w:t>
      </w:r>
      <w:proofErr w:type="gramStart"/>
      <w:r w:rsidRPr="005F1D3D">
        <w:rPr>
          <w:i/>
          <w:iCs/>
        </w:rPr>
        <w:t>et</w:t>
      </w:r>
      <w:proofErr w:type="gramEnd"/>
      <w:r w:rsidRPr="005F1D3D">
        <w:rPr>
          <w:i/>
          <w:iCs/>
        </w:rPr>
        <w:t xml:space="preserve"> </w:t>
      </w:r>
      <w:proofErr w:type="spellStart"/>
      <w:r w:rsidRPr="005F1D3D">
        <w:rPr>
          <w:i/>
          <w:iCs/>
        </w:rPr>
        <w:t>mortalité</w:t>
      </w:r>
      <w:proofErr w:type="spellEnd"/>
      <w:r w:rsidRPr="005F1D3D">
        <w:rPr>
          <w:i/>
          <w:iCs/>
        </w:rPr>
        <w:t xml:space="preserve"> </w:t>
      </w:r>
      <w:proofErr w:type="spellStart"/>
      <w:r w:rsidRPr="005F1D3D">
        <w:rPr>
          <w:i/>
          <w:iCs/>
        </w:rPr>
        <w:t>liées</w:t>
      </w:r>
      <w:proofErr w:type="spellEnd"/>
      <w:r w:rsidRPr="005F1D3D">
        <w:rPr>
          <w:i/>
          <w:iCs/>
        </w:rPr>
        <w:t xml:space="preserve"> aux </w:t>
      </w:r>
      <w:proofErr w:type="spellStart"/>
      <w:r w:rsidRPr="005F1D3D">
        <w:rPr>
          <w:i/>
          <w:iCs/>
        </w:rPr>
        <w:t>opioïdes</w:t>
      </w:r>
      <w:proofErr w:type="spellEnd"/>
      <w:r w:rsidRPr="005F1D3D">
        <w:rPr>
          <w:i/>
          <w:iCs/>
        </w:rPr>
        <w:t xml:space="preserve"> </w:t>
      </w:r>
      <w:proofErr w:type="spellStart"/>
      <w:r w:rsidRPr="005F1D3D">
        <w:rPr>
          <w:i/>
          <w:iCs/>
        </w:rPr>
        <w:t>en</w:t>
      </w:r>
      <w:proofErr w:type="spellEnd"/>
      <w:r w:rsidRPr="005F1D3D">
        <w:rPr>
          <w:i/>
          <w:iCs/>
        </w:rPr>
        <w:t xml:space="preserve"> Ontario</w:t>
      </w:r>
      <w:r w:rsidRPr="0095527D">
        <w:rPr>
          <w:i/>
          <w:iCs/>
        </w:rPr>
        <w:t>.</w:t>
      </w:r>
      <w:r w:rsidRPr="0095527D">
        <w:t xml:space="preserve"> </w:t>
      </w:r>
      <w:bookmarkStart w:id="1" w:name="_Hlk125540682"/>
      <w:r>
        <w:rPr>
          <w:rFonts w:cstheme="minorHAnsi"/>
        </w:rPr>
        <w:t>[</w:t>
      </w:r>
      <w:proofErr w:type="spellStart"/>
      <w:r>
        <w:rPr>
          <w:rFonts w:cstheme="minorHAnsi"/>
        </w:rPr>
        <w:t>En</w:t>
      </w:r>
      <w:proofErr w:type="spellEnd"/>
      <w:r>
        <w:rPr>
          <w:rFonts w:cstheme="minorHAnsi"/>
        </w:rPr>
        <w:t xml:space="preserve"> </w:t>
      </w:r>
      <w:proofErr w:type="spellStart"/>
      <w:r>
        <w:rPr>
          <w:rFonts w:cstheme="minorHAnsi"/>
        </w:rPr>
        <w:t>ligne</w:t>
      </w:r>
      <w:proofErr w:type="spellEnd"/>
      <w:r>
        <w:rPr>
          <w:rFonts w:cstheme="minorHAnsi"/>
        </w:rPr>
        <w:t>]</w:t>
      </w:r>
      <w:bookmarkEnd w:id="1"/>
      <w:r>
        <w:rPr>
          <w:rFonts w:cstheme="minorHAnsi"/>
        </w:rPr>
        <w:t xml:space="preserve"> [</w:t>
      </w:r>
      <w:hyperlink r:id="rId27" w:history="1">
        <w:r w:rsidRPr="00CF151A">
          <w:rPr>
            <w:rStyle w:val="Hyperlink"/>
          </w:rPr>
          <w:t>https://www.publichealthontario.ca/fr/data-and-analysis/substance-use/interactive-opioid-tool</w:t>
        </w:r>
      </w:hyperlink>
      <w:r>
        <w:rPr>
          <w:rFonts w:cstheme="minorHAnsi"/>
        </w:rPr>
        <w:t>]</w:t>
      </w:r>
      <w:r w:rsidRPr="0095527D">
        <w:t xml:space="preserve"> </w:t>
      </w:r>
      <w:r w:rsidRPr="00DD1B9D">
        <w:t>(</w:t>
      </w:r>
      <w:proofErr w:type="spellStart"/>
      <w:r w:rsidRPr="00DD1B9D">
        <w:t>Consulté</w:t>
      </w:r>
      <w:proofErr w:type="spellEnd"/>
      <w:r w:rsidRPr="00DD1B9D">
        <w:t xml:space="preserve"> </w:t>
      </w:r>
      <w:proofErr w:type="spellStart"/>
      <w:r>
        <w:t>en</w:t>
      </w:r>
      <w:proofErr w:type="spellEnd"/>
      <w:r w:rsidRPr="00DD1B9D">
        <w:t xml:space="preserve"> </w:t>
      </w:r>
      <w:proofErr w:type="spellStart"/>
      <w:r>
        <w:t>déc</w:t>
      </w:r>
      <w:r w:rsidRPr="00DD1B9D">
        <w:t>embre</w:t>
      </w:r>
      <w:proofErr w:type="spellEnd"/>
      <w:r w:rsidRPr="00DD1B9D">
        <w:t xml:space="preserve"> 2022)</w:t>
      </w:r>
      <w:r w:rsidRPr="0095527D">
        <w:t>.</w:t>
      </w:r>
    </w:p>
    <w:p w:rsidR="00AA6CA1" w:rsidRPr="0095527D" w:rsidRDefault="00AA6CA1" w:rsidP="00AA6CA1">
      <w:pPr>
        <w:numPr>
          <w:ilvl w:val="0"/>
          <w:numId w:val="4"/>
        </w:numPr>
      </w:pPr>
      <w:proofErr w:type="spellStart"/>
      <w:r>
        <w:t>Comité</w:t>
      </w:r>
      <w:proofErr w:type="spellEnd"/>
      <w:r>
        <w:t xml:space="preserve"> </w:t>
      </w:r>
      <w:proofErr w:type="spellStart"/>
      <w:r>
        <w:t>consultatif</w:t>
      </w:r>
      <w:proofErr w:type="spellEnd"/>
      <w:r>
        <w:t xml:space="preserve"> </w:t>
      </w:r>
      <w:proofErr w:type="spellStart"/>
      <w:r>
        <w:t>spécial</w:t>
      </w:r>
      <w:proofErr w:type="spellEnd"/>
      <w:r>
        <w:t xml:space="preserve"> sur </w:t>
      </w:r>
      <w:proofErr w:type="spellStart"/>
      <w:r>
        <w:t>l’épidémie</w:t>
      </w:r>
      <w:proofErr w:type="spellEnd"/>
      <w:r>
        <w:t xml:space="preserve"> de </w:t>
      </w:r>
      <w:proofErr w:type="spellStart"/>
      <w:r>
        <w:t>surdoses</w:t>
      </w:r>
      <w:proofErr w:type="spellEnd"/>
      <w:r>
        <w:t xml:space="preserve"> </w:t>
      </w:r>
      <w:proofErr w:type="spellStart"/>
      <w:r>
        <w:t>d’opioïdes</w:t>
      </w:r>
      <w:proofErr w:type="spellEnd"/>
      <w:r>
        <w:t xml:space="preserve"> – </w:t>
      </w:r>
      <w:proofErr w:type="spellStart"/>
      <w:r>
        <w:t>A</w:t>
      </w:r>
      <w:r w:rsidRPr="006F5CEE">
        <w:t>gence</w:t>
      </w:r>
      <w:proofErr w:type="spellEnd"/>
      <w:r w:rsidRPr="006F5CEE">
        <w:t xml:space="preserve"> de la santé </w:t>
      </w:r>
      <w:proofErr w:type="spellStart"/>
      <w:r w:rsidRPr="006F5CEE">
        <w:t>publique</w:t>
      </w:r>
      <w:proofErr w:type="spellEnd"/>
      <w:r w:rsidRPr="006F5CEE">
        <w:t xml:space="preserve"> du Canada</w:t>
      </w:r>
      <w:r w:rsidRPr="0095527D">
        <w:t xml:space="preserve">. </w:t>
      </w:r>
      <w:proofErr w:type="spellStart"/>
      <w:r w:rsidRPr="00846E6E">
        <w:rPr>
          <w:i/>
          <w:iCs/>
        </w:rPr>
        <w:t>Méfaits</w:t>
      </w:r>
      <w:proofErr w:type="spellEnd"/>
      <w:r w:rsidRPr="00846E6E">
        <w:rPr>
          <w:i/>
          <w:iCs/>
        </w:rPr>
        <w:t xml:space="preserve"> </w:t>
      </w:r>
      <w:proofErr w:type="spellStart"/>
      <w:r w:rsidRPr="00846E6E">
        <w:rPr>
          <w:i/>
          <w:iCs/>
        </w:rPr>
        <w:t>associés</w:t>
      </w:r>
      <w:proofErr w:type="spellEnd"/>
      <w:r w:rsidRPr="00846E6E">
        <w:rPr>
          <w:i/>
          <w:iCs/>
        </w:rPr>
        <w:t xml:space="preserve"> aux </w:t>
      </w:r>
      <w:proofErr w:type="spellStart"/>
      <w:r w:rsidRPr="00846E6E">
        <w:rPr>
          <w:i/>
          <w:iCs/>
        </w:rPr>
        <w:t>opioïdes</w:t>
      </w:r>
      <w:proofErr w:type="spellEnd"/>
      <w:r w:rsidRPr="00846E6E">
        <w:rPr>
          <w:i/>
          <w:iCs/>
        </w:rPr>
        <w:t xml:space="preserve"> </w:t>
      </w:r>
      <w:proofErr w:type="gramStart"/>
      <w:r w:rsidRPr="00846E6E">
        <w:rPr>
          <w:i/>
          <w:iCs/>
        </w:rPr>
        <w:t>et</w:t>
      </w:r>
      <w:proofErr w:type="gramEnd"/>
      <w:r w:rsidRPr="00846E6E">
        <w:rPr>
          <w:i/>
          <w:iCs/>
        </w:rPr>
        <w:t xml:space="preserve"> aux stimulants au</w:t>
      </w:r>
      <w:r>
        <w:t xml:space="preserve"> </w:t>
      </w:r>
      <w:r w:rsidRPr="0095527D">
        <w:rPr>
          <w:i/>
          <w:iCs/>
        </w:rPr>
        <w:t>Canada</w:t>
      </w:r>
      <w:r w:rsidRPr="0095527D">
        <w:t xml:space="preserve">. </w:t>
      </w:r>
      <w:r w:rsidRPr="007B0E52">
        <w:t>[</w:t>
      </w:r>
      <w:proofErr w:type="spellStart"/>
      <w:r w:rsidRPr="007B0E52">
        <w:t>En</w:t>
      </w:r>
      <w:proofErr w:type="spellEnd"/>
      <w:r>
        <w:t xml:space="preserve"> </w:t>
      </w:r>
      <w:proofErr w:type="spellStart"/>
      <w:r w:rsidRPr="007B0E52">
        <w:t>ligne</w:t>
      </w:r>
      <w:proofErr w:type="spellEnd"/>
      <w:r w:rsidRPr="007B0E52">
        <w:t>]</w:t>
      </w:r>
      <w:r>
        <w:t>, 2022.</w:t>
      </w:r>
      <w:r w:rsidRPr="0095527D">
        <w:t xml:space="preserve"> </w:t>
      </w:r>
      <w:r>
        <w:rPr>
          <w:rFonts w:cstheme="minorHAnsi"/>
        </w:rPr>
        <w:t>[</w:t>
      </w:r>
      <w:hyperlink r:id="rId28" w:history="1">
        <w:r w:rsidRPr="003538A0">
          <w:rPr>
            <w:rStyle w:val="Hyperlink"/>
          </w:rPr>
          <w:t>https://sante-infobase.canada.ca/mefaits-associes-aux-substances/opioides-stimulants</w:t>
        </w:r>
      </w:hyperlink>
      <w:r>
        <w:rPr>
          <w:rFonts w:cstheme="minorHAnsi"/>
        </w:rPr>
        <w:t>]</w:t>
      </w:r>
      <w:r>
        <w:t xml:space="preserve"> </w:t>
      </w:r>
      <w:r w:rsidRPr="007B0E52">
        <w:t>(</w:t>
      </w:r>
      <w:proofErr w:type="spellStart"/>
      <w:r w:rsidRPr="007B0E52">
        <w:t>Consulté</w:t>
      </w:r>
      <w:proofErr w:type="spellEnd"/>
      <w:r w:rsidRPr="007B0E52">
        <w:t xml:space="preserve"> </w:t>
      </w:r>
      <w:proofErr w:type="spellStart"/>
      <w:r w:rsidRPr="007B0E52">
        <w:t>en</w:t>
      </w:r>
      <w:proofErr w:type="spellEnd"/>
      <w:r w:rsidRPr="007B0E52">
        <w:t xml:space="preserve"> </w:t>
      </w:r>
      <w:proofErr w:type="spellStart"/>
      <w:r w:rsidRPr="007B0E52">
        <w:t>décembre</w:t>
      </w:r>
      <w:proofErr w:type="spellEnd"/>
      <w:r w:rsidRPr="007B0E52">
        <w:t xml:space="preserve"> 2022).</w:t>
      </w:r>
    </w:p>
    <w:p w:rsidR="00AA6CA1" w:rsidRPr="0095527D" w:rsidRDefault="00AA6CA1" w:rsidP="00AA6CA1">
      <w:pPr>
        <w:numPr>
          <w:ilvl w:val="0"/>
          <w:numId w:val="4"/>
        </w:numPr>
      </w:pPr>
      <w:proofErr w:type="spellStart"/>
      <w:r>
        <w:t>Coûts</w:t>
      </w:r>
      <w:proofErr w:type="spellEnd"/>
      <w:r>
        <w:t xml:space="preserve"> </w:t>
      </w:r>
      <w:proofErr w:type="gramStart"/>
      <w:r>
        <w:t>et</w:t>
      </w:r>
      <w:proofErr w:type="gramEnd"/>
      <w:r>
        <w:t xml:space="preserve"> </w:t>
      </w:r>
      <w:proofErr w:type="spellStart"/>
      <w:r>
        <w:t>méfaits</w:t>
      </w:r>
      <w:proofErr w:type="spellEnd"/>
      <w:r>
        <w:t xml:space="preserve"> de </w:t>
      </w:r>
      <w:proofErr w:type="spellStart"/>
      <w:r>
        <w:t>l’usage</w:t>
      </w:r>
      <w:proofErr w:type="spellEnd"/>
      <w:r>
        <w:t xml:space="preserve"> de substances au </w:t>
      </w:r>
      <w:r w:rsidRPr="0095527D">
        <w:t>Canad</w:t>
      </w:r>
      <w:r>
        <w:t>a</w:t>
      </w:r>
      <w:r w:rsidRPr="0095527D">
        <w:t xml:space="preserve">. </w:t>
      </w:r>
      <w:r w:rsidRPr="0040729F">
        <w:rPr>
          <w:i/>
          <w:iCs/>
        </w:rPr>
        <w:t xml:space="preserve">Comment </w:t>
      </w:r>
      <w:proofErr w:type="spellStart"/>
      <w:r w:rsidRPr="0040729F">
        <w:rPr>
          <w:i/>
          <w:iCs/>
        </w:rPr>
        <w:t>utiliser</w:t>
      </w:r>
      <w:proofErr w:type="spellEnd"/>
      <w:r w:rsidRPr="0040729F">
        <w:rPr>
          <w:i/>
          <w:iCs/>
        </w:rPr>
        <w:t xml:space="preserve"> </w:t>
      </w:r>
      <w:proofErr w:type="spellStart"/>
      <w:r w:rsidRPr="0040729F">
        <w:rPr>
          <w:i/>
          <w:iCs/>
        </w:rPr>
        <w:t>l</w:t>
      </w:r>
      <w:r>
        <w:rPr>
          <w:i/>
          <w:iCs/>
        </w:rPr>
        <w:t>’</w:t>
      </w:r>
      <w:r w:rsidRPr="0040729F">
        <w:rPr>
          <w:i/>
          <w:iCs/>
        </w:rPr>
        <w:t>outil</w:t>
      </w:r>
      <w:proofErr w:type="spellEnd"/>
      <w:r w:rsidRPr="0040729F">
        <w:rPr>
          <w:i/>
          <w:iCs/>
        </w:rPr>
        <w:t xml:space="preserve"> de </w:t>
      </w:r>
      <w:proofErr w:type="spellStart"/>
      <w:r w:rsidRPr="0040729F">
        <w:rPr>
          <w:i/>
          <w:iCs/>
        </w:rPr>
        <w:t>visualisation</w:t>
      </w:r>
      <w:proofErr w:type="spellEnd"/>
      <w:r w:rsidRPr="0040729F">
        <w:rPr>
          <w:i/>
          <w:iCs/>
        </w:rPr>
        <w:t xml:space="preserve"> CEMUSC</w:t>
      </w:r>
      <w:r w:rsidRPr="0095527D">
        <w:rPr>
          <w:i/>
          <w:iCs/>
        </w:rPr>
        <w:t xml:space="preserve">. </w:t>
      </w:r>
      <w:r w:rsidRPr="0040729F">
        <w:t>[</w:t>
      </w:r>
      <w:proofErr w:type="spellStart"/>
      <w:r w:rsidRPr="0040729F">
        <w:t>En</w:t>
      </w:r>
      <w:proofErr w:type="spellEnd"/>
      <w:r w:rsidRPr="0040729F">
        <w:t xml:space="preserve"> </w:t>
      </w:r>
      <w:proofErr w:type="spellStart"/>
      <w:r w:rsidRPr="0040729F">
        <w:t>ligne</w:t>
      </w:r>
      <w:proofErr w:type="spellEnd"/>
      <w:r w:rsidRPr="0040729F">
        <w:t>]</w:t>
      </w:r>
      <w:r w:rsidRPr="0095527D">
        <w:t xml:space="preserve"> </w:t>
      </w:r>
      <w:r>
        <w:rPr>
          <w:rFonts w:cstheme="minorHAnsi"/>
        </w:rPr>
        <w:t>[</w:t>
      </w:r>
      <w:hyperlink r:id="rId29" w:history="1">
        <w:r w:rsidRPr="00CF151A">
          <w:rPr>
            <w:rStyle w:val="Hyperlink"/>
          </w:rPr>
          <w:t>https://cemusc.ca/consulter-les-donnees/</w:t>
        </w:r>
      </w:hyperlink>
      <w:r>
        <w:rPr>
          <w:rFonts w:cstheme="minorHAnsi"/>
        </w:rPr>
        <w:t>]</w:t>
      </w:r>
      <w:r w:rsidRPr="0095527D">
        <w:t xml:space="preserve"> </w:t>
      </w:r>
      <w:r w:rsidRPr="0040729F">
        <w:t>(</w:t>
      </w:r>
      <w:proofErr w:type="spellStart"/>
      <w:r w:rsidRPr="0040729F">
        <w:t>Consulté</w:t>
      </w:r>
      <w:proofErr w:type="spellEnd"/>
      <w:r w:rsidRPr="0040729F">
        <w:t xml:space="preserve"> </w:t>
      </w:r>
      <w:proofErr w:type="spellStart"/>
      <w:r w:rsidRPr="0040729F">
        <w:t>en</w:t>
      </w:r>
      <w:proofErr w:type="spellEnd"/>
      <w:r w:rsidRPr="0040729F">
        <w:t xml:space="preserve"> </w:t>
      </w:r>
      <w:proofErr w:type="spellStart"/>
      <w:r w:rsidRPr="0040729F">
        <w:t>décembre</w:t>
      </w:r>
      <w:proofErr w:type="spellEnd"/>
      <w:r w:rsidRPr="0040729F">
        <w:t xml:space="preserve"> 2022)</w:t>
      </w:r>
      <w:r w:rsidRPr="0095527D">
        <w:t>.</w:t>
      </w:r>
    </w:p>
    <w:p w:rsidR="00AA6CA1" w:rsidRPr="0095527D" w:rsidRDefault="00AA6CA1" w:rsidP="00AA6CA1">
      <w:pPr>
        <w:numPr>
          <w:ilvl w:val="0"/>
          <w:numId w:val="4"/>
        </w:numPr>
      </w:pPr>
      <w:r w:rsidRPr="00123C3A">
        <w:rPr>
          <w:lang w:val="en-CA"/>
        </w:rPr>
        <w:t xml:space="preserve">Drug Strategy Network of Ontario. </w:t>
      </w:r>
      <w:r w:rsidRPr="00123C3A">
        <w:rPr>
          <w:i/>
          <w:iCs/>
          <w:lang w:val="en-CA"/>
        </w:rPr>
        <w:t>Solutions to End the Drug Poisoning Crisis in Ontario: Choosing a New Direction</w:t>
      </w:r>
      <w:r w:rsidRPr="0095527D">
        <w:rPr>
          <w:i/>
          <w:iCs/>
        </w:rPr>
        <w:t xml:space="preserve">. </w:t>
      </w:r>
      <w:r w:rsidRPr="00123C3A">
        <w:t>[</w:t>
      </w:r>
      <w:proofErr w:type="spellStart"/>
      <w:r w:rsidRPr="00123C3A">
        <w:t>En</w:t>
      </w:r>
      <w:proofErr w:type="spellEnd"/>
      <w:r w:rsidRPr="00123C3A">
        <w:t xml:space="preserve"> </w:t>
      </w:r>
      <w:proofErr w:type="spellStart"/>
      <w:r w:rsidRPr="00123C3A">
        <w:t>ligne</w:t>
      </w:r>
      <w:proofErr w:type="spellEnd"/>
      <w:r w:rsidRPr="00123C3A">
        <w:t>],</w:t>
      </w:r>
      <w:r>
        <w:t xml:space="preserve"> </w:t>
      </w:r>
      <w:r w:rsidRPr="0095527D">
        <w:t xml:space="preserve">2022. </w:t>
      </w:r>
      <w:r>
        <w:rPr>
          <w:rFonts w:cstheme="minorHAnsi"/>
        </w:rPr>
        <w:t>[</w:t>
      </w:r>
      <w:hyperlink r:id="rId30" w:history="1">
        <w:r w:rsidRPr="0095527D">
          <w:rPr>
            <w:rStyle w:val="Hyperlink"/>
          </w:rPr>
          <w:t>https://</w:t>
        </w:r>
      </w:hyperlink>
      <w:hyperlink r:id="rId31" w:history="1">
        <w:r w:rsidRPr="0095527D">
          <w:rPr>
            <w:rStyle w:val="Hyperlink"/>
          </w:rPr>
          <w:t>www.drugstrategy.ca/uploads/5/3/6/2/53627897/dsno_policy_solutions_final_2022-04-20_v2.pdf</w:t>
        </w:r>
      </w:hyperlink>
      <w:r>
        <w:rPr>
          <w:rFonts w:cstheme="minorHAnsi"/>
        </w:rPr>
        <w:t>]</w:t>
      </w:r>
      <w:r w:rsidRPr="0095527D">
        <w:t xml:space="preserve"> </w:t>
      </w:r>
      <w:r w:rsidRPr="00B73778">
        <w:t>(</w:t>
      </w:r>
      <w:proofErr w:type="spellStart"/>
      <w:r w:rsidRPr="00B73778">
        <w:t>Consulté</w:t>
      </w:r>
      <w:proofErr w:type="spellEnd"/>
      <w:r w:rsidRPr="00B73778">
        <w:t xml:space="preserve"> </w:t>
      </w:r>
      <w:proofErr w:type="spellStart"/>
      <w:r w:rsidRPr="00B73778">
        <w:t>en</w:t>
      </w:r>
      <w:proofErr w:type="spellEnd"/>
      <w:r w:rsidRPr="00B73778">
        <w:t xml:space="preserve"> </w:t>
      </w:r>
      <w:proofErr w:type="spellStart"/>
      <w:r w:rsidRPr="00B73778">
        <w:t>décembre</w:t>
      </w:r>
      <w:proofErr w:type="spellEnd"/>
      <w:r w:rsidRPr="00B73778">
        <w:t xml:space="preserve"> 2022)</w:t>
      </w:r>
      <w:r w:rsidRPr="0095527D">
        <w:t>.</w:t>
      </w:r>
    </w:p>
    <w:p w:rsidR="00AA6CA1" w:rsidRPr="0095527D" w:rsidRDefault="00AA6CA1" w:rsidP="00AA6CA1">
      <w:pPr>
        <w:numPr>
          <w:ilvl w:val="0"/>
          <w:numId w:val="4"/>
        </w:numPr>
      </w:pPr>
      <w:r>
        <w:t>Santé</w:t>
      </w:r>
      <w:r w:rsidRPr="0095527D">
        <w:t xml:space="preserve"> Canada</w:t>
      </w:r>
      <w:r>
        <w:t>.</w:t>
      </w:r>
      <w:r w:rsidRPr="0095527D">
        <w:t xml:space="preserve"> </w:t>
      </w:r>
      <w:proofErr w:type="spellStart"/>
      <w:r>
        <w:t>Groupe</w:t>
      </w:r>
      <w:proofErr w:type="spellEnd"/>
      <w:r>
        <w:t xml:space="preserve"> </w:t>
      </w:r>
      <w:proofErr w:type="spellStart"/>
      <w:r>
        <w:t>d’e</w:t>
      </w:r>
      <w:r w:rsidRPr="0095527D">
        <w:t>xperts</w:t>
      </w:r>
      <w:proofErr w:type="spellEnd"/>
      <w:r w:rsidRPr="0095527D">
        <w:t xml:space="preserve"> </w:t>
      </w:r>
      <w:r>
        <w:t xml:space="preserve">sur la </w:t>
      </w:r>
      <w:proofErr w:type="spellStart"/>
      <w:r>
        <w:t>consommation</w:t>
      </w:r>
      <w:proofErr w:type="spellEnd"/>
      <w:r>
        <w:t xml:space="preserve"> de s</w:t>
      </w:r>
      <w:r w:rsidRPr="0095527D">
        <w:t xml:space="preserve">ubstances. </w:t>
      </w:r>
      <w:r w:rsidRPr="00EE5DEA">
        <w:rPr>
          <w:i/>
          <w:iCs/>
        </w:rPr>
        <w:t xml:space="preserve">Rapport </w:t>
      </w:r>
      <w:proofErr w:type="gramStart"/>
      <w:r w:rsidRPr="00EE5DEA">
        <w:rPr>
          <w:i/>
          <w:iCs/>
        </w:rPr>
        <w:t>2</w:t>
      </w:r>
      <w:r>
        <w:rPr>
          <w:i/>
          <w:iCs/>
        </w:rPr>
        <w:t> :</w:t>
      </w:r>
      <w:proofErr w:type="gramEnd"/>
      <w:r w:rsidRPr="00EE5DEA">
        <w:rPr>
          <w:i/>
          <w:iCs/>
        </w:rPr>
        <w:t xml:space="preserve"> </w:t>
      </w:r>
      <w:proofErr w:type="spellStart"/>
      <w:r w:rsidRPr="00EE5DEA">
        <w:rPr>
          <w:i/>
          <w:iCs/>
        </w:rPr>
        <w:t>Recommandations</w:t>
      </w:r>
      <w:proofErr w:type="spellEnd"/>
      <w:r w:rsidRPr="00EE5DEA">
        <w:rPr>
          <w:i/>
          <w:iCs/>
        </w:rPr>
        <w:t xml:space="preserve"> relatives à la </w:t>
      </w:r>
      <w:proofErr w:type="spellStart"/>
      <w:r w:rsidRPr="00EE5DEA">
        <w:rPr>
          <w:i/>
          <w:iCs/>
        </w:rPr>
        <w:t>politique</w:t>
      </w:r>
      <w:proofErr w:type="spellEnd"/>
      <w:r w:rsidRPr="00EE5DEA">
        <w:rPr>
          <w:i/>
          <w:iCs/>
        </w:rPr>
        <w:t xml:space="preserve"> du </w:t>
      </w:r>
      <w:proofErr w:type="spellStart"/>
      <w:r w:rsidRPr="00EE5DEA">
        <w:rPr>
          <w:i/>
          <w:iCs/>
        </w:rPr>
        <w:t>gouvernement</w:t>
      </w:r>
      <w:proofErr w:type="spellEnd"/>
      <w:r w:rsidRPr="00EE5DEA">
        <w:rPr>
          <w:i/>
          <w:iCs/>
        </w:rPr>
        <w:t xml:space="preserve"> du Canada </w:t>
      </w:r>
      <w:proofErr w:type="spellStart"/>
      <w:r w:rsidRPr="00EE5DEA">
        <w:rPr>
          <w:i/>
          <w:iCs/>
        </w:rPr>
        <w:t>en</w:t>
      </w:r>
      <w:proofErr w:type="spellEnd"/>
      <w:r w:rsidRPr="00EE5DEA">
        <w:rPr>
          <w:i/>
          <w:iCs/>
        </w:rPr>
        <w:t xml:space="preserve"> </w:t>
      </w:r>
      <w:proofErr w:type="spellStart"/>
      <w:r w:rsidRPr="00EE5DEA">
        <w:rPr>
          <w:i/>
          <w:iCs/>
        </w:rPr>
        <w:t>matière</w:t>
      </w:r>
      <w:proofErr w:type="spellEnd"/>
      <w:r w:rsidRPr="00EE5DEA">
        <w:rPr>
          <w:i/>
          <w:iCs/>
        </w:rPr>
        <w:t xml:space="preserve"> de drogues, </w:t>
      </w:r>
      <w:proofErr w:type="spellStart"/>
      <w:r w:rsidRPr="00EE5DEA">
        <w:rPr>
          <w:i/>
          <w:iCs/>
        </w:rPr>
        <w:t>telle</w:t>
      </w:r>
      <w:proofErr w:type="spellEnd"/>
      <w:r w:rsidRPr="00EE5DEA">
        <w:rPr>
          <w:i/>
          <w:iCs/>
        </w:rPr>
        <w:t xml:space="preserve"> </w:t>
      </w:r>
      <w:proofErr w:type="spellStart"/>
      <w:r w:rsidRPr="00EE5DEA">
        <w:rPr>
          <w:i/>
          <w:iCs/>
        </w:rPr>
        <w:t>qu</w:t>
      </w:r>
      <w:r>
        <w:rPr>
          <w:i/>
          <w:iCs/>
        </w:rPr>
        <w:t>’</w:t>
      </w:r>
      <w:r w:rsidRPr="00EE5DEA">
        <w:rPr>
          <w:i/>
          <w:iCs/>
        </w:rPr>
        <w:t>elle</w:t>
      </w:r>
      <w:proofErr w:type="spellEnd"/>
      <w:r w:rsidRPr="00EE5DEA">
        <w:rPr>
          <w:i/>
          <w:iCs/>
        </w:rPr>
        <w:t xml:space="preserve"> </w:t>
      </w:r>
      <w:proofErr w:type="spellStart"/>
      <w:r w:rsidRPr="00EE5DEA">
        <w:rPr>
          <w:i/>
          <w:iCs/>
        </w:rPr>
        <w:t>est</w:t>
      </w:r>
      <w:proofErr w:type="spellEnd"/>
      <w:r w:rsidRPr="00EE5DEA">
        <w:rPr>
          <w:i/>
          <w:iCs/>
        </w:rPr>
        <w:t xml:space="preserve"> </w:t>
      </w:r>
      <w:proofErr w:type="spellStart"/>
      <w:r w:rsidRPr="00EE5DEA">
        <w:rPr>
          <w:i/>
          <w:iCs/>
        </w:rPr>
        <w:t>énoncée</w:t>
      </w:r>
      <w:proofErr w:type="spellEnd"/>
      <w:r w:rsidRPr="00EE5DEA">
        <w:rPr>
          <w:i/>
          <w:iCs/>
        </w:rPr>
        <w:t xml:space="preserve"> </w:t>
      </w:r>
      <w:proofErr w:type="spellStart"/>
      <w:r w:rsidRPr="00EE5DEA">
        <w:rPr>
          <w:i/>
          <w:iCs/>
        </w:rPr>
        <w:t>dans</w:t>
      </w:r>
      <w:proofErr w:type="spellEnd"/>
      <w:r w:rsidRPr="00EE5DEA">
        <w:rPr>
          <w:i/>
          <w:iCs/>
        </w:rPr>
        <w:t xml:space="preserve"> le </w:t>
      </w:r>
      <w:proofErr w:type="spellStart"/>
      <w:r w:rsidRPr="00EE5DEA">
        <w:rPr>
          <w:i/>
          <w:iCs/>
        </w:rPr>
        <w:t>projet</w:t>
      </w:r>
      <w:proofErr w:type="spellEnd"/>
      <w:r w:rsidRPr="00EE5DEA">
        <w:rPr>
          <w:i/>
          <w:iCs/>
        </w:rPr>
        <w:t xml:space="preserve"> de </w:t>
      </w:r>
      <w:proofErr w:type="spellStart"/>
      <w:r w:rsidRPr="00EE5DEA">
        <w:rPr>
          <w:i/>
          <w:iCs/>
        </w:rPr>
        <w:t>Stratégie</w:t>
      </w:r>
      <w:proofErr w:type="spellEnd"/>
      <w:r w:rsidRPr="00EE5DEA">
        <w:rPr>
          <w:i/>
          <w:iCs/>
        </w:rPr>
        <w:t xml:space="preserve"> </w:t>
      </w:r>
      <w:proofErr w:type="spellStart"/>
      <w:r w:rsidRPr="00EE5DEA">
        <w:rPr>
          <w:i/>
          <w:iCs/>
        </w:rPr>
        <w:t>canadienne</w:t>
      </w:r>
      <w:proofErr w:type="spellEnd"/>
      <w:r w:rsidRPr="00EE5DEA">
        <w:rPr>
          <w:i/>
          <w:iCs/>
        </w:rPr>
        <w:t xml:space="preserve"> sur les drogues et </w:t>
      </w:r>
      <w:proofErr w:type="spellStart"/>
      <w:r w:rsidRPr="00EE5DEA">
        <w:rPr>
          <w:i/>
          <w:iCs/>
        </w:rPr>
        <w:t>autres</w:t>
      </w:r>
      <w:proofErr w:type="spellEnd"/>
      <w:r w:rsidRPr="00EE5DEA">
        <w:rPr>
          <w:i/>
          <w:iCs/>
        </w:rPr>
        <w:t xml:space="preserve"> substances (SCDAS)</w:t>
      </w:r>
      <w:r w:rsidRPr="0095527D">
        <w:rPr>
          <w:i/>
          <w:iCs/>
        </w:rPr>
        <w:t xml:space="preserve">. </w:t>
      </w:r>
      <w:bookmarkStart w:id="2" w:name="_Hlk125543102"/>
      <w:r w:rsidRPr="00CF2C3A">
        <w:t>[</w:t>
      </w:r>
      <w:proofErr w:type="spellStart"/>
      <w:r w:rsidRPr="00CF2C3A">
        <w:t>En</w:t>
      </w:r>
      <w:proofErr w:type="spellEnd"/>
      <w:r w:rsidRPr="00CF2C3A">
        <w:t xml:space="preserve"> </w:t>
      </w:r>
      <w:proofErr w:type="spellStart"/>
      <w:r w:rsidRPr="00CF2C3A">
        <w:t>ligne</w:t>
      </w:r>
      <w:proofErr w:type="spellEnd"/>
      <w:r w:rsidRPr="00CF2C3A">
        <w:t>],</w:t>
      </w:r>
      <w:bookmarkEnd w:id="2"/>
      <w:r>
        <w:t xml:space="preserve"> 2021,</w:t>
      </w:r>
      <w:r w:rsidRPr="0095527D">
        <w:t xml:space="preserve"> </w:t>
      </w:r>
      <w:r>
        <w:rPr>
          <w:rFonts w:cstheme="minorHAnsi"/>
        </w:rPr>
        <w:t>[</w:t>
      </w:r>
      <w:hyperlink r:id="rId32" w:history="1">
        <w:r w:rsidRPr="00CF151A">
          <w:rPr>
            <w:rStyle w:val="Hyperlink"/>
          </w:rPr>
          <w:t>https://www.canada.ca/fr/sante-canada/organisation/a-propos-sante-canada/mobilisation-publique/organismes-consultatifs-externes/groupe-experts-consommation-substances/rapports/rapport-2-2021.html</w:t>
        </w:r>
      </w:hyperlink>
      <w:r>
        <w:rPr>
          <w:rFonts w:cstheme="minorHAnsi"/>
        </w:rPr>
        <w:t>]</w:t>
      </w:r>
      <w:r>
        <w:t xml:space="preserve"> </w:t>
      </w:r>
      <w:r w:rsidRPr="0041693F">
        <w:t>(</w:t>
      </w:r>
      <w:proofErr w:type="spellStart"/>
      <w:r w:rsidRPr="0041693F">
        <w:t>Consulté</w:t>
      </w:r>
      <w:proofErr w:type="spellEnd"/>
      <w:r w:rsidRPr="0041693F">
        <w:t xml:space="preserve"> </w:t>
      </w:r>
      <w:proofErr w:type="spellStart"/>
      <w:r w:rsidRPr="0041693F">
        <w:t>en</w:t>
      </w:r>
      <w:proofErr w:type="spellEnd"/>
      <w:r w:rsidRPr="0041693F">
        <w:t xml:space="preserve"> </w:t>
      </w:r>
      <w:proofErr w:type="spellStart"/>
      <w:r w:rsidRPr="0041693F">
        <w:t>décembre</w:t>
      </w:r>
      <w:proofErr w:type="spellEnd"/>
      <w:r w:rsidRPr="0041693F">
        <w:t xml:space="preserve"> 2022)</w:t>
      </w:r>
      <w:r w:rsidRPr="0095527D">
        <w:t>.</w:t>
      </w:r>
    </w:p>
    <w:p w:rsidR="00AA6CA1" w:rsidRPr="0095527D" w:rsidRDefault="00AA6CA1" w:rsidP="00AA6CA1">
      <w:pPr>
        <w:numPr>
          <w:ilvl w:val="0"/>
          <w:numId w:val="4"/>
        </w:numPr>
      </w:pPr>
      <w:r w:rsidRPr="0095527D">
        <w:t xml:space="preserve">Centre </w:t>
      </w:r>
      <w:r>
        <w:t xml:space="preserve">de </w:t>
      </w:r>
      <w:proofErr w:type="spellStart"/>
      <w:r>
        <w:t>toxicomanie</w:t>
      </w:r>
      <w:proofErr w:type="spellEnd"/>
      <w:r>
        <w:t xml:space="preserve"> </w:t>
      </w:r>
      <w:proofErr w:type="gramStart"/>
      <w:r>
        <w:t>et</w:t>
      </w:r>
      <w:proofErr w:type="gramEnd"/>
      <w:r>
        <w:t xml:space="preserve"> de santé </w:t>
      </w:r>
      <w:proofErr w:type="spellStart"/>
      <w:r>
        <w:t>mentale</w:t>
      </w:r>
      <w:proofErr w:type="spellEnd"/>
      <w:r w:rsidRPr="0095527D">
        <w:t xml:space="preserve">. </w:t>
      </w:r>
      <w:r>
        <w:rPr>
          <w:i/>
          <w:iCs/>
          <w:lang w:val="af-ZA"/>
        </w:rPr>
        <w:t>Énoncé sur la</w:t>
      </w:r>
      <w:r w:rsidRPr="00F45A49">
        <w:rPr>
          <w:i/>
          <w:iCs/>
          <w:lang w:val="af-ZA"/>
        </w:rPr>
        <w:t xml:space="preserve"> d</w:t>
      </w:r>
      <w:r>
        <w:rPr>
          <w:i/>
          <w:iCs/>
          <w:lang w:val="af-ZA"/>
        </w:rPr>
        <w:t>é</w:t>
      </w:r>
      <w:r w:rsidRPr="00F45A49">
        <w:rPr>
          <w:i/>
          <w:iCs/>
          <w:lang w:val="af-ZA"/>
        </w:rPr>
        <w:t>criminali</w:t>
      </w:r>
      <w:r>
        <w:rPr>
          <w:i/>
          <w:iCs/>
          <w:lang w:val="af-ZA"/>
        </w:rPr>
        <w:t>s</w:t>
      </w:r>
      <w:r w:rsidRPr="00F45A49">
        <w:rPr>
          <w:i/>
          <w:iCs/>
          <w:lang w:val="af-ZA"/>
        </w:rPr>
        <w:t xml:space="preserve">ation </w:t>
      </w:r>
      <w:r>
        <w:rPr>
          <w:i/>
          <w:iCs/>
          <w:lang w:val="af-ZA"/>
        </w:rPr>
        <w:t>de</w:t>
      </w:r>
      <w:r w:rsidRPr="00F45A49">
        <w:rPr>
          <w:i/>
          <w:iCs/>
          <w:lang w:val="af-ZA"/>
        </w:rPr>
        <w:t xml:space="preserve"> substance</w:t>
      </w:r>
      <w:r>
        <w:rPr>
          <w:i/>
          <w:iCs/>
          <w:lang w:val="af-ZA"/>
        </w:rPr>
        <w:t>s</w:t>
      </w:r>
      <w:r w:rsidRPr="00F45A49">
        <w:rPr>
          <w:i/>
          <w:iCs/>
          <w:lang w:val="af-ZA"/>
        </w:rPr>
        <w:t xml:space="preserve"> </w:t>
      </w:r>
      <w:r>
        <w:rPr>
          <w:i/>
          <w:iCs/>
          <w:lang w:val="af-ZA"/>
        </w:rPr>
        <w:t>psychoactive</w:t>
      </w:r>
      <w:r w:rsidRPr="00F45A49">
        <w:rPr>
          <w:i/>
          <w:iCs/>
          <w:lang w:val="af-ZA"/>
        </w:rPr>
        <w:t>s</w:t>
      </w:r>
      <w:r w:rsidRPr="0095527D">
        <w:rPr>
          <w:i/>
          <w:iCs/>
        </w:rPr>
        <w:t xml:space="preserve">. </w:t>
      </w:r>
      <w:r w:rsidRPr="001B24C0">
        <w:t>[</w:t>
      </w:r>
      <w:proofErr w:type="spellStart"/>
      <w:r w:rsidRPr="001B24C0">
        <w:t>En</w:t>
      </w:r>
      <w:proofErr w:type="spellEnd"/>
      <w:r w:rsidRPr="001B24C0">
        <w:t xml:space="preserve"> </w:t>
      </w:r>
      <w:proofErr w:type="spellStart"/>
      <w:r w:rsidRPr="001B24C0">
        <w:t>ligne</w:t>
      </w:r>
      <w:proofErr w:type="spellEnd"/>
      <w:r w:rsidRPr="001B24C0">
        <w:t>]</w:t>
      </w:r>
      <w:r w:rsidRPr="001B24C0">
        <w:rPr>
          <w:i/>
          <w:iCs/>
        </w:rPr>
        <w:t>,</w:t>
      </w:r>
      <w:r w:rsidRPr="00D54B9E">
        <w:t xml:space="preserve"> </w:t>
      </w:r>
      <w:r w:rsidRPr="0095527D">
        <w:t>2021</w:t>
      </w:r>
      <w:r>
        <w:t xml:space="preserve">, </w:t>
      </w:r>
      <w:r>
        <w:rPr>
          <w:rFonts w:cstheme="minorHAnsi"/>
        </w:rPr>
        <w:t>[</w:t>
      </w:r>
      <w:hyperlink r:id="rId33" w:history="1">
        <w:r w:rsidRPr="003538A0">
          <w:rPr>
            <w:rStyle w:val="Hyperlink"/>
          </w:rPr>
          <w:t>https://www.camh.ca/-/media/files/pdfs---public-policy-submissions/CAMH-Statement-on-decriminalization-sep2021-fr-pdf.pdf</w:t>
        </w:r>
      </w:hyperlink>
      <w:r>
        <w:rPr>
          <w:rFonts w:cstheme="minorHAnsi"/>
        </w:rPr>
        <w:t>]</w:t>
      </w:r>
      <w:r>
        <w:rPr>
          <w:i/>
          <w:iCs/>
        </w:rPr>
        <w:t xml:space="preserve"> </w:t>
      </w:r>
      <w:bookmarkStart w:id="3" w:name="_Hlk125543436"/>
      <w:r w:rsidRPr="007443D8">
        <w:t>(</w:t>
      </w:r>
      <w:proofErr w:type="spellStart"/>
      <w:r w:rsidRPr="007443D8">
        <w:t>Consulté</w:t>
      </w:r>
      <w:proofErr w:type="spellEnd"/>
      <w:r w:rsidRPr="007443D8">
        <w:t xml:space="preserve"> </w:t>
      </w:r>
      <w:proofErr w:type="spellStart"/>
      <w:r w:rsidRPr="007443D8">
        <w:t>en</w:t>
      </w:r>
      <w:proofErr w:type="spellEnd"/>
      <w:r w:rsidRPr="007443D8">
        <w:t xml:space="preserve"> </w:t>
      </w:r>
      <w:proofErr w:type="spellStart"/>
      <w:r w:rsidRPr="007443D8">
        <w:t>décembre</w:t>
      </w:r>
      <w:proofErr w:type="spellEnd"/>
      <w:r w:rsidRPr="007443D8">
        <w:t xml:space="preserve"> 2022</w:t>
      </w:r>
      <w:r>
        <w:t>)</w:t>
      </w:r>
      <w:r w:rsidRPr="0095527D">
        <w:t>.</w:t>
      </w:r>
      <w:bookmarkEnd w:id="3"/>
    </w:p>
    <w:p w:rsidR="00AA6CA1" w:rsidRPr="0095527D" w:rsidRDefault="00AA6CA1" w:rsidP="00AA6CA1">
      <w:pPr>
        <w:numPr>
          <w:ilvl w:val="0"/>
          <w:numId w:val="4"/>
        </w:numPr>
      </w:pPr>
      <w:r>
        <w:t xml:space="preserve">Association </w:t>
      </w:r>
      <w:proofErr w:type="spellStart"/>
      <w:r>
        <w:t>c</w:t>
      </w:r>
      <w:r w:rsidRPr="0095527D">
        <w:t>ommun</w:t>
      </w:r>
      <w:r>
        <w:t>autaire</w:t>
      </w:r>
      <w:proofErr w:type="spellEnd"/>
      <w:r w:rsidRPr="0095527D">
        <w:t xml:space="preserve"> </w:t>
      </w:r>
      <w:proofErr w:type="spellStart"/>
      <w:r>
        <w:t>d’entraide</w:t>
      </w:r>
      <w:proofErr w:type="spellEnd"/>
      <w:r>
        <w:t xml:space="preserve"> des pairs </w:t>
      </w:r>
      <w:proofErr w:type="spellStart"/>
      <w:r>
        <w:t>contre</w:t>
      </w:r>
      <w:proofErr w:type="spellEnd"/>
      <w:r>
        <w:t xml:space="preserve"> les a</w:t>
      </w:r>
      <w:r w:rsidRPr="0095527D">
        <w:t>ddictions (</w:t>
      </w:r>
      <w:r>
        <w:t>ACEP</w:t>
      </w:r>
      <w:r w:rsidRPr="0095527D">
        <w:t xml:space="preserve">A). </w:t>
      </w:r>
      <w:proofErr w:type="spellStart"/>
      <w:r w:rsidRPr="00822E63">
        <w:rPr>
          <w:i/>
          <w:iCs/>
        </w:rPr>
        <w:t>Comprendre</w:t>
      </w:r>
      <w:proofErr w:type="spellEnd"/>
      <w:r w:rsidRPr="00822E63">
        <w:rPr>
          <w:i/>
          <w:iCs/>
        </w:rPr>
        <w:t xml:space="preserve"> la santé </w:t>
      </w:r>
      <w:proofErr w:type="spellStart"/>
      <w:r w:rsidRPr="00822E63">
        <w:rPr>
          <w:i/>
          <w:iCs/>
        </w:rPr>
        <w:t>en</w:t>
      </w:r>
      <w:proofErr w:type="spellEnd"/>
      <w:r w:rsidRPr="00822E63">
        <w:rPr>
          <w:i/>
          <w:iCs/>
        </w:rPr>
        <w:t xml:space="preserve"> </w:t>
      </w:r>
      <w:proofErr w:type="spellStart"/>
      <w:r w:rsidRPr="00822E63">
        <w:rPr>
          <w:i/>
          <w:iCs/>
        </w:rPr>
        <w:t>matière</w:t>
      </w:r>
      <w:proofErr w:type="spellEnd"/>
      <w:r w:rsidRPr="00822E63">
        <w:rPr>
          <w:i/>
          <w:iCs/>
        </w:rPr>
        <w:t xml:space="preserve"> de </w:t>
      </w:r>
      <w:proofErr w:type="spellStart"/>
      <w:r w:rsidRPr="00822E63">
        <w:rPr>
          <w:i/>
          <w:iCs/>
        </w:rPr>
        <w:t>l’usage</w:t>
      </w:r>
      <w:proofErr w:type="spellEnd"/>
      <w:r w:rsidRPr="00822E63">
        <w:rPr>
          <w:i/>
          <w:iCs/>
        </w:rPr>
        <w:t xml:space="preserve"> de substances: </w:t>
      </w:r>
      <w:proofErr w:type="spellStart"/>
      <w:r w:rsidRPr="00822E63">
        <w:rPr>
          <w:i/>
          <w:iCs/>
        </w:rPr>
        <w:t>une</w:t>
      </w:r>
      <w:proofErr w:type="spellEnd"/>
      <w:r w:rsidRPr="00822E63">
        <w:rPr>
          <w:i/>
          <w:iCs/>
        </w:rPr>
        <w:t xml:space="preserve"> question </w:t>
      </w:r>
      <w:proofErr w:type="spellStart"/>
      <w:r w:rsidRPr="00822E63">
        <w:rPr>
          <w:i/>
          <w:iCs/>
        </w:rPr>
        <w:t>d’équité</w:t>
      </w:r>
      <w:proofErr w:type="spellEnd"/>
      <w:r w:rsidRPr="0095527D">
        <w:rPr>
          <w:i/>
          <w:iCs/>
        </w:rPr>
        <w:t xml:space="preserve">. </w:t>
      </w:r>
      <w:r w:rsidRPr="00AA7837">
        <w:t>[</w:t>
      </w:r>
      <w:proofErr w:type="spellStart"/>
      <w:r w:rsidRPr="00AA7837">
        <w:t>En</w:t>
      </w:r>
      <w:proofErr w:type="spellEnd"/>
      <w:r w:rsidRPr="00AA7837">
        <w:t xml:space="preserve"> </w:t>
      </w:r>
      <w:proofErr w:type="spellStart"/>
      <w:r w:rsidRPr="00AA7837">
        <w:t>ligne</w:t>
      </w:r>
      <w:proofErr w:type="spellEnd"/>
      <w:r w:rsidRPr="00AA7837">
        <w:t>]</w:t>
      </w:r>
      <w:r>
        <w:t>, 2021</w:t>
      </w:r>
      <w:r w:rsidRPr="0095527D">
        <w:t xml:space="preserve"> </w:t>
      </w:r>
      <w:r>
        <w:rPr>
          <w:rFonts w:cstheme="minorHAnsi"/>
        </w:rPr>
        <w:t>[</w:t>
      </w:r>
      <w:hyperlink r:id="rId34" w:history="1">
        <w:r w:rsidRPr="003538A0">
          <w:rPr>
            <w:rStyle w:val="Hyperlink"/>
          </w:rPr>
          <w:t>https://capsa.ca/wp-content/uploads/2022/10/CAPSA-Substance-Use-Health-FR.pdf</w:t>
        </w:r>
      </w:hyperlink>
      <w:r>
        <w:rPr>
          <w:rFonts w:cstheme="minorHAnsi"/>
        </w:rPr>
        <w:t>]</w:t>
      </w:r>
      <w:r w:rsidRPr="0095527D">
        <w:t xml:space="preserve"> </w:t>
      </w:r>
      <w:r w:rsidRPr="00956012">
        <w:t>(</w:t>
      </w:r>
      <w:proofErr w:type="spellStart"/>
      <w:r w:rsidRPr="00956012">
        <w:t>Consulté</w:t>
      </w:r>
      <w:proofErr w:type="spellEnd"/>
      <w:r w:rsidRPr="00956012">
        <w:t xml:space="preserve"> </w:t>
      </w:r>
      <w:proofErr w:type="spellStart"/>
      <w:r w:rsidRPr="00956012">
        <w:t>en</w:t>
      </w:r>
      <w:proofErr w:type="spellEnd"/>
      <w:r w:rsidRPr="00956012">
        <w:t xml:space="preserve"> </w:t>
      </w:r>
      <w:proofErr w:type="spellStart"/>
      <w:r w:rsidRPr="00956012">
        <w:t>décembre</w:t>
      </w:r>
      <w:proofErr w:type="spellEnd"/>
      <w:r w:rsidRPr="00956012">
        <w:t xml:space="preserve"> 2022).</w:t>
      </w:r>
    </w:p>
    <w:p w:rsidR="00AA6CA1" w:rsidRDefault="00AA6CA1" w:rsidP="00AA6CA1">
      <w:pPr>
        <w:pStyle w:val="Heading3"/>
        <w:rPr>
          <w:lang w:val="fr-CA"/>
        </w:rPr>
      </w:pPr>
      <w:r>
        <w:rPr>
          <w:lang w:val="fr-CA"/>
        </w:rPr>
        <w:lastRenderedPageBreak/>
        <w:t xml:space="preserve">Note : </w:t>
      </w:r>
    </w:p>
    <w:p w:rsidR="00AA6CA1" w:rsidRPr="003137A4" w:rsidRDefault="00AA6CA1" w:rsidP="00AA6CA1">
      <w:r w:rsidRPr="003137A4">
        <w:rPr>
          <w:lang w:val="fr-FR"/>
        </w:rPr>
        <w:t>La présente activité d’échange de connaissances est soutenue par le Réseau d’échange de données probantes (</w:t>
      </w:r>
      <w:proofErr w:type="spellStart"/>
      <w:r w:rsidRPr="003137A4">
        <w:rPr>
          <w:lang w:val="fr-FR"/>
        </w:rPr>
        <w:t>EENet</w:t>
      </w:r>
      <w:proofErr w:type="spellEnd"/>
      <w:r w:rsidRPr="003137A4">
        <w:rPr>
          <w:lang w:val="fr-FR"/>
        </w:rPr>
        <w:t xml:space="preserve">), qui fait partie du Programme de soutien au système provincial du Centre de toxicomanie et de santé mentale (CAMH). Le réseau </w:t>
      </w:r>
      <w:proofErr w:type="spellStart"/>
      <w:r w:rsidRPr="003137A4">
        <w:rPr>
          <w:lang w:val="fr-FR"/>
        </w:rPr>
        <w:t>EENet</w:t>
      </w:r>
      <w:proofErr w:type="spellEnd"/>
      <w:r w:rsidRPr="003137A4">
        <w:rPr>
          <w:lang w:val="fr-FR"/>
        </w:rPr>
        <w:t xml:space="preserve"> existe grâce à la contribution financière de Santé Ontario (SO). Les opinions qui y sont exprimées ne reflètent pas nécessairement les positions de SO ou de CAMH.</w:t>
      </w:r>
      <w:r w:rsidRPr="003137A4">
        <w:t xml:space="preserve"> </w:t>
      </w:r>
    </w:p>
    <w:p w:rsidR="00AA6CA1" w:rsidRPr="0095527D" w:rsidRDefault="00AA6CA1" w:rsidP="00AA6CA1"/>
    <w:p w:rsidR="00AA6CA1" w:rsidRPr="0095527D" w:rsidRDefault="00AA6CA1" w:rsidP="00AA6CA1">
      <w:pPr>
        <w:rPr>
          <w:b/>
        </w:rPr>
      </w:pPr>
    </w:p>
    <w:p w:rsidR="00AA6CA1" w:rsidRPr="00AA6CA1" w:rsidRDefault="00AA6CA1" w:rsidP="00AA6CA1"/>
    <w:p w:rsidR="00AA6CA1" w:rsidRPr="00327E90" w:rsidRDefault="00AA6CA1" w:rsidP="00327E90">
      <w:pPr>
        <w:rPr>
          <w:b/>
        </w:rPr>
      </w:pPr>
    </w:p>
    <w:sectPr w:rsidR="00AA6CA1" w:rsidRPr="00327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9F" w:rsidRDefault="00946D9F" w:rsidP="0095527D">
      <w:pPr>
        <w:spacing w:after="0" w:line="240" w:lineRule="auto"/>
      </w:pPr>
      <w:r>
        <w:separator/>
      </w:r>
    </w:p>
  </w:endnote>
  <w:endnote w:type="continuationSeparator" w:id="0">
    <w:p w:rsidR="00946D9F" w:rsidRDefault="00946D9F" w:rsidP="0095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9F" w:rsidRDefault="00946D9F" w:rsidP="0095527D">
      <w:pPr>
        <w:spacing w:after="0" w:line="240" w:lineRule="auto"/>
      </w:pPr>
      <w:r>
        <w:separator/>
      </w:r>
    </w:p>
  </w:footnote>
  <w:footnote w:type="continuationSeparator" w:id="0">
    <w:p w:rsidR="00946D9F" w:rsidRDefault="00946D9F" w:rsidP="00955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29F"/>
    <w:multiLevelType w:val="hybridMultilevel"/>
    <w:tmpl w:val="91784788"/>
    <w:lvl w:ilvl="0" w:tplc="A1305384">
      <w:start w:val="1"/>
      <w:numFmt w:val="bullet"/>
      <w:lvlText w:val="•"/>
      <w:lvlJc w:val="left"/>
      <w:pPr>
        <w:tabs>
          <w:tab w:val="num" w:pos="720"/>
        </w:tabs>
        <w:ind w:left="720" w:hanging="360"/>
      </w:pPr>
      <w:rPr>
        <w:rFonts w:ascii="Arial" w:hAnsi="Arial" w:hint="default"/>
      </w:rPr>
    </w:lvl>
    <w:lvl w:ilvl="1" w:tplc="6E624156" w:tentative="1">
      <w:start w:val="1"/>
      <w:numFmt w:val="bullet"/>
      <w:lvlText w:val="•"/>
      <w:lvlJc w:val="left"/>
      <w:pPr>
        <w:tabs>
          <w:tab w:val="num" w:pos="1440"/>
        </w:tabs>
        <w:ind w:left="1440" w:hanging="360"/>
      </w:pPr>
      <w:rPr>
        <w:rFonts w:ascii="Arial" w:hAnsi="Arial" w:hint="default"/>
      </w:rPr>
    </w:lvl>
    <w:lvl w:ilvl="2" w:tplc="D3D65682" w:tentative="1">
      <w:start w:val="1"/>
      <w:numFmt w:val="bullet"/>
      <w:lvlText w:val="•"/>
      <w:lvlJc w:val="left"/>
      <w:pPr>
        <w:tabs>
          <w:tab w:val="num" w:pos="2160"/>
        </w:tabs>
        <w:ind w:left="2160" w:hanging="360"/>
      </w:pPr>
      <w:rPr>
        <w:rFonts w:ascii="Arial" w:hAnsi="Arial" w:hint="default"/>
      </w:rPr>
    </w:lvl>
    <w:lvl w:ilvl="3" w:tplc="21147666" w:tentative="1">
      <w:start w:val="1"/>
      <w:numFmt w:val="bullet"/>
      <w:lvlText w:val="•"/>
      <w:lvlJc w:val="left"/>
      <w:pPr>
        <w:tabs>
          <w:tab w:val="num" w:pos="2880"/>
        </w:tabs>
        <w:ind w:left="2880" w:hanging="360"/>
      </w:pPr>
      <w:rPr>
        <w:rFonts w:ascii="Arial" w:hAnsi="Arial" w:hint="default"/>
      </w:rPr>
    </w:lvl>
    <w:lvl w:ilvl="4" w:tplc="926A61B6" w:tentative="1">
      <w:start w:val="1"/>
      <w:numFmt w:val="bullet"/>
      <w:lvlText w:val="•"/>
      <w:lvlJc w:val="left"/>
      <w:pPr>
        <w:tabs>
          <w:tab w:val="num" w:pos="3600"/>
        </w:tabs>
        <w:ind w:left="3600" w:hanging="360"/>
      </w:pPr>
      <w:rPr>
        <w:rFonts w:ascii="Arial" w:hAnsi="Arial" w:hint="default"/>
      </w:rPr>
    </w:lvl>
    <w:lvl w:ilvl="5" w:tplc="E5F486FE" w:tentative="1">
      <w:start w:val="1"/>
      <w:numFmt w:val="bullet"/>
      <w:lvlText w:val="•"/>
      <w:lvlJc w:val="left"/>
      <w:pPr>
        <w:tabs>
          <w:tab w:val="num" w:pos="4320"/>
        </w:tabs>
        <w:ind w:left="4320" w:hanging="360"/>
      </w:pPr>
      <w:rPr>
        <w:rFonts w:ascii="Arial" w:hAnsi="Arial" w:hint="default"/>
      </w:rPr>
    </w:lvl>
    <w:lvl w:ilvl="6" w:tplc="21BA420A" w:tentative="1">
      <w:start w:val="1"/>
      <w:numFmt w:val="bullet"/>
      <w:lvlText w:val="•"/>
      <w:lvlJc w:val="left"/>
      <w:pPr>
        <w:tabs>
          <w:tab w:val="num" w:pos="5040"/>
        </w:tabs>
        <w:ind w:left="5040" w:hanging="360"/>
      </w:pPr>
      <w:rPr>
        <w:rFonts w:ascii="Arial" w:hAnsi="Arial" w:hint="default"/>
      </w:rPr>
    </w:lvl>
    <w:lvl w:ilvl="7" w:tplc="07884CF2" w:tentative="1">
      <w:start w:val="1"/>
      <w:numFmt w:val="bullet"/>
      <w:lvlText w:val="•"/>
      <w:lvlJc w:val="left"/>
      <w:pPr>
        <w:tabs>
          <w:tab w:val="num" w:pos="5760"/>
        </w:tabs>
        <w:ind w:left="5760" w:hanging="360"/>
      </w:pPr>
      <w:rPr>
        <w:rFonts w:ascii="Arial" w:hAnsi="Arial" w:hint="default"/>
      </w:rPr>
    </w:lvl>
    <w:lvl w:ilvl="8" w:tplc="49A012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127272"/>
    <w:multiLevelType w:val="hybridMultilevel"/>
    <w:tmpl w:val="8118EBD4"/>
    <w:lvl w:ilvl="0" w:tplc="E5B2A502">
      <w:start w:val="1"/>
      <w:numFmt w:val="decimal"/>
      <w:lvlText w:val="%1."/>
      <w:lvlJc w:val="left"/>
      <w:pPr>
        <w:tabs>
          <w:tab w:val="num" w:pos="720"/>
        </w:tabs>
        <w:ind w:left="720" w:hanging="360"/>
      </w:pPr>
    </w:lvl>
    <w:lvl w:ilvl="1" w:tplc="B42C8D20" w:tentative="1">
      <w:start w:val="1"/>
      <w:numFmt w:val="decimal"/>
      <w:lvlText w:val="%2."/>
      <w:lvlJc w:val="left"/>
      <w:pPr>
        <w:tabs>
          <w:tab w:val="num" w:pos="1440"/>
        </w:tabs>
        <w:ind w:left="1440" w:hanging="360"/>
      </w:pPr>
    </w:lvl>
    <w:lvl w:ilvl="2" w:tplc="7598E8F6" w:tentative="1">
      <w:start w:val="1"/>
      <w:numFmt w:val="decimal"/>
      <w:lvlText w:val="%3."/>
      <w:lvlJc w:val="left"/>
      <w:pPr>
        <w:tabs>
          <w:tab w:val="num" w:pos="2160"/>
        </w:tabs>
        <w:ind w:left="2160" w:hanging="360"/>
      </w:pPr>
    </w:lvl>
    <w:lvl w:ilvl="3" w:tplc="AF06EA82" w:tentative="1">
      <w:start w:val="1"/>
      <w:numFmt w:val="decimal"/>
      <w:lvlText w:val="%4."/>
      <w:lvlJc w:val="left"/>
      <w:pPr>
        <w:tabs>
          <w:tab w:val="num" w:pos="2880"/>
        </w:tabs>
        <w:ind w:left="2880" w:hanging="360"/>
      </w:pPr>
    </w:lvl>
    <w:lvl w:ilvl="4" w:tplc="3A6A41E4" w:tentative="1">
      <w:start w:val="1"/>
      <w:numFmt w:val="decimal"/>
      <w:lvlText w:val="%5."/>
      <w:lvlJc w:val="left"/>
      <w:pPr>
        <w:tabs>
          <w:tab w:val="num" w:pos="3600"/>
        </w:tabs>
        <w:ind w:left="3600" w:hanging="360"/>
      </w:pPr>
    </w:lvl>
    <w:lvl w:ilvl="5" w:tplc="4CEC4C34" w:tentative="1">
      <w:start w:val="1"/>
      <w:numFmt w:val="decimal"/>
      <w:lvlText w:val="%6."/>
      <w:lvlJc w:val="left"/>
      <w:pPr>
        <w:tabs>
          <w:tab w:val="num" w:pos="4320"/>
        </w:tabs>
        <w:ind w:left="4320" w:hanging="360"/>
      </w:pPr>
    </w:lvl>
    <w:lvl w:ilvl="6" w:tplc="EE62CA64" w:tentative="1">
      <w:start w:val="1"/>
      <w:numFmt w:val="decimal"/>
      <w:lvlText w:val="%7."/>
      <w:lvlJc w:val="left"/>
      <w:pPr>
        <w:tabs>
          <w:tab w:val="num" w:pos="5040"/>
        </w:tabs>
        <w:ind w:left="5040" w:hanging="360"/>
      </w:pPr>
    </w:lvl>
    <w:lvl w:ilvl="7" w:tplc="E72C20AA" w:tentative="1">
      <w:start w:val="1"/>
      <w:numFmt w:val="decimal"/>
      <w:lvlText w:val="%8."/>
      <w:lvlJc w:val="left"/>
      <w:pPr>
        <w:tabs>
          <w:tab w:val="num" w:pos="5760"/>
        </w:tabs>
        <w:ind w:left="5760" w:hanging="360"/>
      </w:pPr>
    </w:lvl>
    <w:lvl w:ilvl="8" w:tplc="644C1694" w:tentative="1">
      <w:start w:val="1"/>
      <w:numFmt w:val="decimal"/>
      <w:lvlText w:val="%9."/>
      <w:lvlJc w:val="left"/>
      <w:pPr>
        <w:tabs>
          <w:tab w:val="num" w:pos="6480"/>
        </w:tabs>
        <w:ind w:left="6480" w:hanging="360"/>
      </w:pPr>
    </w:lvl>
  </w:abstractNum>
  <w:abstractNum w:abstractNumId="2" w15:restartNumberingAfterBreak="0">
    <w:nsid w:val="32F6516A"/>
    <w:multiLevelType w:val="hybridMultilevel"/>
    <w:tmpl w:val="1FA461F6"/>
    <w:lvl w:ilvl="0" w:tplc="AA9CA51E">
      <w:start w:val="4"/>
      <w:numFmt w:val="decimal"/>
      <w:lvlText w:val="%1."/>
      <w:lvlJc w:val="left"/>
      <w:pPr>
        <w:tabs>
          <w:tab w:val="num" w:pos="720"/>
        </w:tabs>
        <w:ind w:left="720" w:hanging="360"/>
      </w:pPr>
    </w:lvl>
    <w:lvl w:ilvl="1" w:tplc="E8140962" w:tentative="1">
      <w:start w:val="1"/>
      <w:numFmt w:val="decimal"/>
      <w:lvlText w:val="%2."/>
      <w:lvlJc w:val="left"/>
      <w:pPr>
        <w:tabs>
          <w:tab w:val="num" w:pos="1440"/>
        </w:tabs>
        <w:ind w:left="1440" w:hanging="360"/>
      </w:pPr>
    </w:lvl>
    <w:lvl w:ilvl="2" w:tplc="3D7AE30E" w:tentative="1">
      <w:start w:val="1"/>
      <w:numFmt w:val="decimal"/>
      <w:lvlText w:val="%3."/>
      <w:lvlJc w:val="left"/>
      <w:pPr>
        <w:tabs>
          <w:tab w:val="num" w:pos="2160"/>
        </w:tabs>
        <w:ind w:left="2160" w:hanging="360"/>
      </w:pPr>
    </w:lvl>
    <w:lvl w:ilvl="3" w:tplc="48F42A1E" w:tentative="1">
      <w:start w:val="1"/>
      <w:numFmt w:val="decimal"/>
      <w:lvlText w:val="%4."/>
      <w:lvlJc w:val="left"/>
      <w:pPr>
        <w:tabs>
          <w:tab w:val="num" w:pos="2880"/>
        </w:tabs>
        <w:ind w:left="2880" w:hanging="360"/>
      </w:pPr>
    </w:lvl>
    <w:lvl w:ilvl="4" w:tplc="0F62923A" w:tentative="1">
      <w:start w:val="1"/>
      <w:numFmt w:val="decimal"/>
      <w:lvlText w:val="%5."/>
      <w:lvlJc w:val="left"/>
      <w:pPr>
        <w:tabs>
          <w:tab w:val="num" w:pos="3600"/>
        </w:tabs>
        <w:ind w:left="3600" w:hanging="360"/>
      </w:pPr>
    </w:lvl>
    <w:lvl w:ilvl="5" w:tplc="59B02534" w:tentative="1">
      <w:start w:val="1"/>
      <w:numFmt w:val="decimal"/>
      <w:lvlText w:val="%6."/>
      <w:lvlJc w:val="left"/>
      <w:pPr>
        <w:tabs>
          <w:tab w:val="num" w:pos="4320"/>
        </w:tabs>
        <w:ind w:left="4320" w:hanging="360"/>
      </w:pPr>
    </w:lvl>
    <w:lvl w:ilvl="6" w:tplc="9D428AFA" w:tentative="1">
      <w:start w:val="1"/>
      <w:numFmt w:val="decimal"/>
      <w:lvlText w:val="%7."/>
      <w:lvlJc w:val="left"/>
      <w:pPr>
        <w:tabs>
          <w:tab w:val="num" w:pos="5040"/>
        </w:tabs>
        <w:ind w:left="5040" w:hanging="360"/>
      </w:pPr>
    </w:lvl>
    <w:lvl w:ilvl="7" w:tplc="226E1D24" w:tentative="1">
      <w:start w:val="1"/>
      <w:numFmt w:val="decimal"/>
      <w:lvlText w:val="%8."/>
      <w:lvlJc w:val="left"/>
      <w:pPr>
        <w:tabs>
          <w:tab w:val="num" w:pos="5760"/>
        </w:tabs>
        <w:ind w:left="5760" w:hanging="360"/>
      </w:pPr>
    </w:lvl>
    <w:lvl w:ilvl="8" w:tplc="32BCB37E" w:tentative="1">
      <w:start w:val="1"/>
      <w:numFmt w:val="decimal"/>
      <w:lvlText w:val="%9."/>
      <w:lvlJc w:val="left"/>
      <w:pPr>
        <w:tabs>
          <w:tab w:val="num" w:pos="6480"/>
        </w:tabs>
        <w:ind w:left="6480" w:hanging="360"/>
      </w:pPr>
    </w:lvl>
  </w:abstractNum>
  <w:abstractNum w:abstractNumId="3" w15:restartNumberingAfterBreak="0">
    <w:nsid w:val="3EB449C4"/>
    <w:multiLevelType w:val="hybridMultilevel"/>
    <w:tmpl w:val="473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94C24"/>
    <w:multiLevelType w:val="hybridMultilevel"/>
    <w:tmpl w:val="938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B0"/>
    <w:rsid w:val="002E30F3"/>
    <w:rsid w:val="00327E90"/>
    <w:rsid w:val="003933B0"/>
    <w:rsid w:val="006F1546"/>
    <w:rsid w:val="006F3E56"/>
    <w:rsid w:val="00847D62"/>
    <w:rsid w:val="00886E15"/>
    <w:rsid w:val="00946D9F"/>
    <w:rsid w:val="00954334"/>
    <w:rsid w:val="0095527D"/>
    <w:rsid w:val="00995CF3"/>
    <w:rsid w:val="00A248F3"/>
    <w:rsid w:val="00AA6CA1"/>
    <w:rsid w:val="00D1263C"/>
    <w:rsid w:val="00EE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D6C1"/>
  <w15:chartTrackingRefBased/>
  <w15:docId w15:val="{C8FF8F3B-ECB5-4A3D-A552-1C14913B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CA1"/>
    <w:pPr>
      <w:keepNext/>
      <w:keepLines/>
      <w:spacing w:before="240" w:after="0"/>
      <w:outlineLvl w:val="0"/>
    </w:pPr>
    <w:rPr>
      <w:rFonts w:asciiTheme="majorHAnsi" w:eastAsiaTheme="majorEastAsia" w:hAnsiTheme="majorHAnsi" w:cstheme="majorBidi"/>
      <w:color w:val="420000"/>
      <w:sz w:val="32"/>
      <w:szCs w:val="32"/>
    </w:rPr>
  </w:style>
  <w:style w:type="paragraph" w:styleId="Heading2">
    <w:name w:val="heading 2"/>
    <w:basedOn w:val="Normal"/>
    <w:next w:val="Normal"/>
    <w:link w:val="Heading2Char"/>
    <w:uiPriority w:val="9"/>
    <w:unhideWhenUsed/>
    <w:qFormat/>
    <w:rsid w:val="00AA6CA1"/>
    <w:pPr>
      <w:keepNext/>
      <w:keepLines/>
      <w:spacing w:before="40" w:after="240"/>
      <w:outlineLvl w:val="1"/>
    </w:pPr>
    <w:rPr>
      <w:rFonts w:asciiTheme="majorHAnsi" w:eastAsiaTheme="majorEastAsia" w:hAnsiTheme="majorHAnsi" w:cstheme="majorBidi"/>
      <w:color w:val="420000"/>
      <w:sz w:val="26"/>
      <w:szCs w:val="26"/>
    </w:rPr>
  </w:style>
  <w:style w:type="paragraph" w:styleId="Heading3">
    <w:name w:val="heading 3"/>
    <w:basedOn w:val="Normal"/>
    <w:next w:val="Normal"/>
    <w:link w:val="Heading3Char"/>
    <w:uiPriority w:val="9"/>
    <w:unhideWhenUsed/>
    <w:qFormat/>
    <w:rsid w:val="00AA6CA1"/>
    <w:pPr>
      <w:keepNext/>
      <w:keepLines/>
      <w:spacing w:before="40" w:after="2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6C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90"/>
    <w:pPr>
      <w:ind w:left="720"/>
      <w:contextualSpacing/>
    </w:pPr>
  </w:style>
  <w:style w:type="paragraph" w:styleId="NormalWeb">
    <w:name w:val="Normal (Web)"/>
    <w:basedOn w:val="Normal"/>
    <w:uiPriority w:val="99"/>
    <w:semiHidden/>
    <w:unhideWhenUsed/>
    <w:rsid w:val="00327E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2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90"/>
    <w:rPr>
      <w:rFonts w:ascii="Segoe UI" w:hAnsi="Segoe UI" w:cs="Segoe UI"/>
      <w:sz w:val="18"/>
      <w:szCs w:val="18"/>
    </w:rPr>
  </w:style>
  <w:style w:type="character" w:styleId="Hyperlink">
    <w:name w:val="Hyperlink"/>
    <w:basedOn w:val="DefaultParagraphFont"/>
    <w:uiPriority w:val="99"/>
    <w:unhideWhenUsed/>
    <w:rsid w:val="0095527D"/>
    <w:rPr>
      <w:color w:val="0563C1" w:themeColor="hyperlink"/>
      <w:u w:val="single"/>
    </w:rPr>
  </w:style>
  <w:style w:type="paragraph" w:styleId="Header">
    <w:name w:val="header"/>
    <w:basedOn w:val="Normal"/>
    <w:link w:val="HeaderChar"/>
    <w:uiPriority w:val="99"/>
    <w:unhideWhenUsed/>
    <w:rsid w:val="0095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7D"/>
  </w:style>
  <w:style w:type="paragraph" w:styleId="Footer">
    <w:name w:val="footer"/>
    <w:basedOn w:val="Normal"/>
    <w:link w:val="FooterChar"/>
    <w:uiPriority w:val="99"/>
    <w:unhideWhenUsed/>
    <w:rsid w:val="0095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7D"/>
  </w:style>
  <w:style w:type="character" w:customStyle="1" w:styleId="Heading1Char">
    <w:name w:val="Heading 1 Char"/>
    <w:basedOn w:val="DefaultParagraphFont"/>
    <w:link w:val="Heading1"/>
    <w:uiPriority w:val="9"/>
    <w:rsid w:val="00AA6CA1"/>
    <w:rPr>
      <w:rFonts w:asciiTheme="majorHAnsi" w:eastAsiaTheme="majorEastAsia" w:hAnsiTheme="majorHAnsi" w:cstheme="majorBidi"/>
      <w:color w:val="420000"/>
      <w:sz w:val="32"/>
      <w:szCs w:val="32"/>
    </w:rPr>
  </w:style>
  <w:style w:type="character" w:customStyle="1" w:styleId="Heading2Char">
    <w:name w:val="Heading 2 Char"/>
    <w:basedOn w:val="DefaultParagraphFont"/>
    <w:link w:val="Heading2"/>
    <w:uiPriority w:val="9"/>
    <w:rsid w:val="00AA6CA1"/>
    <w:rPr>
      <w:rFonts w:asciiTheme="majorHAnsi" w:eastAsiaTheme="majorEastAsia" w:hAnsiTheme="majorHAnsi" w:cstheme="majorBidi"/>
      <w:color w:val="420000"/>
      <w:sz w:val="26"/>
      <w:szCs w:val="26"/>
    </w:rPr>
  </w:style>
  <w:style w:type="character" w:customStyle="1" w:styleId="Heading3Char">
    <w:name w:val="Heading 3 Char"/>
    <w:basedOn w:val="DefaultParagraphFont"/>
    <w:link w:val="Heading3"/>
    <w:uiPriority w:val="9"/>
    <w:rsid w:val="00AA6C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A6CA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590">
      <w:bodyDiv w:val="1"/>
      <w:marLeft w:val="0"/>
      <w:marRight w:val="0"/>
      <w:marTop w:val="0"/>
      <w:marBottom w:val="0"/>
      <w:divBdr>
        <w:top w:val="none" w:sz="0" w:space="0" w:color="auto"/>
        <w:left w:val="none" w:sz="0" w:space="0" w:color="auto"/>
        <w:bottom w:val="none" w:sz="0" w:space="0" w:color="auto"/>
        <w:right w:val="none" w:sz="0" w:space="0" w:color="auto"/>
      </w:divBdr>
    </w:div>
    <w:div w:id="169220223">
      <w:bodyDiv w:val="1"/>
      <w:marLeft w:val="0"/>
      <w:marRight w:val="0"/>
      <w:marTop w:val="0"/>
      <w:marBottom w:val="0"/>
      <w:divBdr>
        <w:top w:val="none" w:sz="0" w:space="0" w:color="auto"/>
        <w:left w:val="none" w:sz="0" w:space="0" w:color="auto"/>
        <w:bottom w:val="none" w:sz="0" w:space="0" w:color="auto"/>
        <w:right w:val="none" w:sz="0" w:space="0" w:color="auto"/>
      </w:divBdr>
    </w:div>
    <w:div w:id="338775153">
      <w:bodyDiv w:val="1"/>
      <w:marLeft w:val="0"/>
      <w:marRight w:val="0"/>
      <w:marTop w:val="0"/>
      <w:marBottom w:val="0"/>
      <w:divBdr>
        <w:top w:val="none" w:sz="0" w:space="0" w:color="auto"/>
        <w:left w:val="none" w:sz="0" w:space="0" w:color="auto"/>
        <w:bottom w:val="none" w:sz="0" w:space="0" w:color="auto"/>
        <w:right w:val="none" w:sz="0" w:space="0" w:color="auto"/>
      </w:divBdr>
    </w:div>
    <w:div w:id="391083342">
      <w:bodyDiv w:val="1"/>
      <w:marLeft w:val="0"/>
      <w:marRight w:val="0"/>
      <w:marTop w:val="0"/>
      <w:marBottom w:val="0"/>
      <w:divBdr>
        <w:top w:val="none" w:sz="0" w:space="0" w:color="auto"/>
        <w:left w:val="none" w:sz="0" w:space="0" w:color="auto"/>
        <w:bottom w:val="none" w:sz="0" w:space="0" w:color="auto"/>
        <w:right w:val="none" w:sz="0" w:space="0" w:color="auto"/>
      </w:divBdr>
    </w:div>
    <w:div w:id="621575755">
      <w:bodyDiv w:val="1"/>
      <w:marLeft w:val="0"/>
      <w:marRight w:val="0"/>
      <w:marTop w:val="0"/>
      <w:marBottom w:val="0"/>
      <w:divBdr>
        <w:top w:val="none" w:sz="0" w:space="0" w:color="auto"/>
        <w:left w:val="none" w:sz="0" w:space="0" w:color="auto"/>
        <w:bottom w:val="none" w:sz="0" w:space="0" w:color="auto"/>
        <w:right w:val="none" w:sz="0" w:space="0" w:color="auto"/>
      </w:divBdr>
    </w:div>
    <w:div w:id="788813924">
      <w:bodyDiv w:val="1"/>
      <w:marLeft w:val="0"/>
      <w:marRight w:val="0"/>
      <w:marTop w:val="0"/>
      <w:marBottom w:val="0"/>
      <w:divBdr>
        <w:top w:val="none" w:sz="0" w:space="0" w:color="auto"/>
        <w:left w:val="none" w:sz="0" w:space="0" w:color="auto"/>
        <w:bottom w:val="none" w:sz="0" w:space="0" w:color="auto"/>
        <w:right w:val="none" w:sz="0" w:space="0" w:color="auto"/>
      </w:divBdr>
    </w:div>
    <w:div w:id="1081953006">
      <w:bodyDiv w:val="1"/>
      <w:marLeft w:val="0"/>
      <w:marRight w:val="0"/>
      <w:marTop w:val="0"/>
      <w:marBottom w:val="0"/>
      <w:divBdr>
        <w:top w:val="none" w:sz="0" w:space="0" w:color="auto"/>
        <w:left w:val="none" w:sz="0" w:space="0" w:color="auto"/>
        <w:bottom w:val="none" w:sz="0" w:space="0" w:color="auto"/>
        <w:right w:val="none" w:sz="0" w:space="0" w:color="auto"/>
      </w:divBdr>
    </w:div>
    <w:div w:id="1097211251">
      <w:bodyDiv w:val="1"/>
      <w:marLeft w:val="0"/>
      <w:marRight w:val="0"/>
      <w:marTop w:val="0"/>
      <w:marBottom w:val="0"/>
      <w:divBdr>
        <w:top w:val="none" w:sz="0" w:space="0" w:color="auto"/>
        <w:left w:val="none" w:sz="0" w:space="0" w:color="auto"/>
        <w:bottom w:val="none" w:sz="0" w:space="0" w:color="auto"/>
        <w:right w:val="none" w:sz="0" w:space="0" w:color="auto"/>
      </w:divBdr>
    </w:div>
    <w:div w:id="1163424699">
      <w:bodyDiv w:val="1"/>
      <w:marLeft w:val="0"/>
      <w:marRight w:val="0"/>
      <w:marTop w:val="0"/>
      <w:marBottom w:val="0"/>
      <w:divBdr>
        <w:top w:val="none" w:sz="0" w:space="0" w:color="auto"/>
        <w:left w:val="none" w:sz="0" w:space="0" w:color="auto"/>
        <w:bottom w:val="none" w:sz="0" w:space="0" w:color="auto"/>
        <w:right w:val="none" w:sz="0" w:space="0" w:color="auto"/>
      </w:divBdr>
      <w:divsChild>
        <w:div w:id="1995714153">
          <w:marLeft w:val="461"/>
          <w:marRight w:val="0"/>
          <w:marTop w:val="0"/>
          <w:marBottom w:val="0"/>
          <w:divBdr>
            <w:top w:val="none" w:sz="0" w:space="0" w:color="auto"/>
            <w:left w:val="none" w:sz="0" w:space="0" w:color="auto"/>
            <w:bottom w:val="none" w:sz="0" w:space="0" w:color="auto"/>
            <w:right w:val="none" w:sz="0" w:space="0" w:color="auto"/>
          </w:divBdr>
        </w:div>
        <w:div w:id="1755667544">
          <w:marLeft w:val="461"/>
          <w:marRight w:val="0"/>
          <w:marTop w:val="0"/>
          <w:marBottom w:val="0"/>
          <w:divBdr>
            <w:top w:val="none" w:sz="0" w:space="0" w:color="auto"/>
            <w:left w:val="none" w:sz="0" w:space="0" w:color="auto"/>
            <w:bottom w:val="none" w:sz="0" w:space="0" w:color="auto"/>
            <w:right w:val="none" w:sz="0" w:space="0" w:color="auto"/>
          </w:divBdr>
        </w:div>
        <w:div w:id="2122409054">
          <w:marLeft w:val="461"/>
          <w:marRight w:val="0"/>
          <w:marTop w:val="0"/>
          <w:marBottom w:val="0"/>
          <w:divBdr>
            <w:top w:val="none" w:sz="0" w:space="0" w:color="auto"/>
            <w:left w:val="none" w:sz="0" w:space="0" w:color="auto"/>
            <w:bottom w:val="none" w:sz="0" w:space="0" w:color="auto"/>
            <w:right w:val="none" w:sz="0" w:space="0" w:color="auto"/>
          </w:divBdr>
        </w:div>
        <w:div w:id="1633557231">
          <w:marLeft w:val="461"/>
          <w:marRight w:val="0"/>
          <w:marTop w:val="0"/>
          <w:marBottom w:val="0"/>
          <w:divBdr>
            <w:top w:val="none" w:sz="0" w:space="0" w:color="auto"/>
            <w:left w:val="none" w:sz="0" w:space="0" w:color="auto"/>
            <w:bottom w:val="none" w:sz="0" w:space="0" w:color="auto"/>
            <w:right w:val="none" w:sz="0" w:space="0" w:color="auto"/>
          </w:divBdr>
        </w:div>
      </w:divsChild>
    </w:div>
    <w:div w:id="1164474082">
      <w:bodyDiv w:val="1"/>
      <w:marLeft w:val="0"/>
      <w:marRight w:val="0"/>
      <w:marTop w:val="0"/>
      <w:marBottom w:val="0"/>
      <w:divBdr>
        <w:top w:val="none" w:sz="0" w:space="0" w:color="auto"/>
        <w:left w:val="none" w:sz="0" w:space="0" w:color="auto"/>
        <w:bottom w:val="none" w:sz="0" w:space="0" w:color="auto"/>
        <w:right w:val="none" w:sz="0" w:space="0" w:color="auto"/>
      </w:divBdr>
      <w:divsChild>
        <w:div w:id="472718942">
          <w:marLeft w:val="360"/>
          <w:marRight w:val="0"/>
          <w:marTop w:val="0"/>
          <w:marBottom w:val="0"/>
          <w:divBdr>
            <w:top w:val="none" w:sz="0" w:space="0" w:color="auto"/>
            <w:left w:val="none" w:sz="0" w:space="0" w:color="auto"/>
            <w:bottom w:val="none" w:sz="0" w:space="0" w:color="auto"/>
            <w:right w:val="none" w:sz="0" w:space="0" w:color="auto"/>
          </w:divBdr>
        </w:div>
        <w:div w:id="561065304">
          <w:marLeft w:val="360"/>
          <w:marRight w:val="0"/>
          <w:marTop w:val="0"/>
          <w:marBottom w:val="0"/>
          <w:divBdr>
            <w:top w:val="none" w:sz="0" w:space="0" w:color="auto"/>
            <w:left w:val="none" w:sz="0" w:space="0" w:color="auto"/>
            <w:bottom w:val="none" w:sz="0" w:space="0" w:color="auto"/>
            <w:right w:val="none" w:sz="0" w:space="0" w:color="auto"/>
          </w:divBdr>
        </w:div>
        <w:div w:id="2063170897">
          <w:marLeft w:val="360"/>
          <w:marRight w:val="0"/>
          <w:marTop w:val="0"/>
          <w:marBottom w:val="0"/>
          <w:divBdr>
            <w:top w:val="none" w:sz="0" w:space="0" w:color="auto"/>
            <w:left w:val="none" w:sz="0" w:space="0" w:color="auto"/>
            <w:bottom w:val="none" w:sz="0" w:space="0" w:color="auto"/>
            <w:right w:val="none" w:sz="0" w:space="0" w:color="auto"/>
          </w:divBdr>
        </w:div>
      </w:divsChild>
    </w:div>
    <w:div w:id="1414011184">
      <w:bodyDiv w:val="1"/>
      <w:marLeft w:val="0"/>
      <w:marRight w:val="0"/>
      <w:marTop w:val="0"/>
      <w:marBottom w:val="0"/>
      <w:divBdr>
        <w:top w:val="none" w:sz="0" w:space="0" w:color="auto"/>
        <w:left w:val="none" w:sz="0" w:space="0" w:color="auto"/>
        <w:bottom w:val="none" w:sz="0" w:space="0" w:color="auto"/>
        <w:right w:val="none" w:sz="0" w:space="0" w:color="auto"/>
      </w:divBdr>
      <w:divsChild>
        <w:div w:id="1642808706">
          <w:marLeft w:val="360"/>
          <w:marRight w:val="0"/>
          <w:marTop w:val="0"/>
          <w:marBottom w:val="0"/>
          <w:divBdr>
            <w:top w:val="none" w:sz="0" w:space="0" w:color="auto"/>
            <w:left w:val="none" w:sz="0" w:space="0" w:color="auto"/>
            <w:bottom w:val="none" w:sz="0" w:space="0" w:color="auto"/>
            <w:right w:val="none" w:sz="0" w:space="0" w:color="auto"/>
          </w:divBdr>
        </w:div>
        <w:div w:id="1963346638">
          <w:marLeft w:val="360"/>
          <w:marRight w:val="0"/>
          <w:marTop w:val="0"/>
          <w:marBottom w:val="0"/>
          <w:divBdr>
            <w:top w:val="none" w:sz="0" w:space="0" w:color="auto"/>
            <w:left w:val="none" w:sz="0" w:space="0" w:color="auto"/>
            <w:bottom w:val="none" w:sz="0" w:space="0" w:color="auto"/>
            <w:right w:val="none" w:sz="0" w:space="0" w:color="auto"/>
          </w:divBdr>
        </w:div>
        <w:div w:id="1172799395">
          <w:marLeft w:val="360"/>
          <w:marRight w:val="0"/>
          <w:marTop w:val="0"/>
          <w:marBottom w:val="0"/>
          <w:divBdr>
            <w:top w:val="none" w:sz="0" w:space="0" w:color="auto"/>
            <w:left w:val="none" w:sz="0" w:space="0" w:color="auto"/>
            <w:bottom w:val="none" w:sz="0" w:space="0" w:color="auto"/>
            <w:right w:val="none" w:sz="0" w:space="0" w:color="auto"/>
          </w:divBdr>
        </w:div>
        <w:div w:id="981346015">
          <w:marLeft w:val="360"/>
          <w:marRight w:val="0"/>
          <w:marTop w:val="0"/>
          <w:marBottom w:val="0"/>
          <w:divBdr>
            <w:top w:val="none" w:sz="0" w:space="0" w:color="auto"/>
            <w:left w:val="none" w:sz="0" w:space="0" w:color="auto"/>
            <w:bottom w:val="none" w:sz="0" w:space="0" w:color="auto"/>
            <w:right w:val="none" w:sz="0" w:space="0" w:color="auto"/>
          </w:divBdr>
        </w:div>
      </w:divsChild>
    </w:div>
    <w:div w:id="1456563174">
      <w:bodyDiv w:val="1"/>
      <w:marLeft w:val="0"/>
      <w:marRight w:val="0"/>
      <w:marTop w:val="0"/>
      <w:marBottom w:val="0"/>
      <w:divBdr>
        <w:top w:val="none" w:sz="0" w:space="0" w:color="auto"/>
        <w:left w:val="none" w:sz="0" w:space="0" w:color="auto"/>
        <w:bottom w:val="none" w:sz="0" w:space="0" w:color="auto"/>
        <w:right w:val="none" w:sz="0" w:space="0" w:color="auto"/>
      </w:divBdr>
    </w:div>
    <w:div w:id="1516114781">
      <w:bodyDiv w:val="1"/>
      <w:marLeft w:val="0"/>
      <w:marRight w:val="0"/>
      <w:marTop w:val="0"/>
      <w:marBottom w:val="0"/>
      <w:divBdr>
        <w:top w:val="none" w:sz="0" w:space="0" w:color="auto"/>
        <w:left w:val="none" w:sz="0" w:space="0" w:color="auto"/>
        <w:bottom w:val="none" w:sz="0" w:space="0" w:color="auto"/>
        <w:right w:val="none" w:sz="0" w:space="0" w:color="auto"/>
      </w:divBdr>
    </w:div>
    <w:div w:id="1894075900">
      <w:bodyDiv w:val="1"/>
      <w:marLeft w:val="0"/>
      <w:marRight w:val="0"/>
      <w:marTop w:val="0"/>
      <w:marBottom w:val="0"/>
      <w:divBdr>
        <w:top w:val="none" w:sz="0" w:space="0" w:color="auto"/>
        <w:left w:val="none" w:sz="0" w:space="0" w:color="auto"/>
        <w:bottom w:val="none" w:sz="0" w:space="0" w:color="auto"/>
        <w:right w:val="none" w:sz="0" w:space="0" w:color="auto"/>
      </w:divBdr>
    </w:div>
    <w:div w:id="1921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health-infobase.canada.ca/substance-related-harms/opioids-stimulants/" TargetMode="External"/><Relationship Id="rId18" Type="http://schemas.openxmlformats.org/officeDocument/2006/relationships/hyperlink" Target="https://www.canada.ca/en/health-canada/corporate/about-health-canada/public-engagement/external-advisory-bodies/expert-task-force-substance-use/reports/report-2-2021.html" TargetMode="External"/><Relationship Id="rId26"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hyperlink" Target="https://www.camh.ca/en/driving-change/influencing-public-policy?query=statement+on+decriminalization" TargetMode="External"/><Relationship Id="rId34" Type="http://schemas.openxmlformats.org/officeDocument/2006/relationships/hyperlink" Target="https://capsa.ca/wp-content/uploads/2022/10/CAPSA-Substance-Use-Health-FR.pdf" TargetMode="External"/><Relationship Id="rId7" Type="http://schemas.openxmlformats.org/officeDocument/2006/relationships/chart" Target="charts/chart1.xml"/><Relationship Id="rId12" Type="http://schemas.openxmlformats.org/officeDocument/2006/relationships/hyperlink" Target="https://www.publichealthontario.ca/en/data-and-analysis/substance-use/interactive-opioid-tool" TargetMode="External"/><Relationship Id="rId17" Type="http://schemas.openxmlformats.org/officeDocument/2006/relationships/hyperlink" Target="https://www.drugstrategy.ca/uploads/5/3/6/2/53627897/dsno_policy_solutions_final_2022-04-20_v2.pdf" TargetMode="External"/><Relationship Id="rId25" Type="http://schemas.openxmlformats.org/officeDocument/2006/relationships/chart" Target="charts/chart5.xml"/><Relationship Id="rId33" Type="http://schemas.openxmlformats.org/officeDocument/2006/relationships/hyperlink" Target="https://www.camh.ca/-/media/files/pdfs---public-policy-submissions/CAMH-Statement-on-decriminalization-sep2021-fr-pdf.pdf" TargetMode="External"/><Relationship Id="rId2" Type="http://schemas.openxmlformats.org/officeDocument/2006/relationships/styles" Target="styles.xml"/><Relationship Id="rId16" Type="http://schemas.openxmlformats.org/officeDocument/2006/relationships/hyperlink" Target="https://www.drugstrategy.ca/uploads/5/3/6/2/53627897/dsno_policy_solutions_final_2022-04-20_v2.pdf" TargetMode="External"/><Relationship Id="rId20" Type="http://schemas.openxmlformats.org/officeDocument/2006/relationships/hyperlink" Target="https://www.camh.ca/en/driving-change/influencing-public-policy?query=statement+on+decriminalization" TargetMode="External"/><Relationship Id="rId29" Type="http://schemas.openxmlformats.org/officeDocument/2006/relationships/hyperlink" Target="https://cemusc.ca/consulter-les-donn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ontario.ca/en/data-and-analysis/substance-use/interactive-opioid-tool" TargetMode="External"/><Relationship Id="rId24" Type="http://schemas.openxmlformats.org/officeDocument/2006/relationships/chart" Target="charts/chart4.xml"/><Relationship Id="rId32" Type="http://schemas.openxmlformats.org/officeDocument/2006/relationships/hyperlink" Target="https://www.canada.ca/fr/sante-canada/organisation/a-propos-sante-canada/mobilisation-publique/organismes-consultatifs-externes/groupe-experts-consommation-substances/rapports/rapport-2-2021.html" TargetMode="External"/><Relationship Id="rId5" Type="http://schemas.openxmlformats.org/officeDocument/2006/relationships/footnotes" Target="footnotes.xml"/><Relationship Id="rId15" Type="http://schemas.openxmlformats.org/officeDocument/2006/relationships/hyperlink" Target="https://csuch.ca/explore-the-data/" TargetMode="External"/><Relationship Id="rId23" Type="http://schemas.openxmlformats.org/officeDocument/2006/relationships/hyperlink" Target="https://capsa.ca/wp-content/uploads/2022/10/CAPSA-Substance-Use-Health-EN-1.pdf" TargetMode="External"/><Relationship Id="rId28" Type="http://schemas.openxmlformats.org/officeDocument/2006/relationships/hyperlink" Target="https://sante-infobase.canada.ca/mefaits-associes-aux-substances/opioides-stimulants" TargetMode="External"/><Relationship Id="rId36" Type="http://schemas.openxmlformats.org/officeDocument/2006/relationships/theme" Target="theme/theme1.xml"/><Relationship Id="rId10" Type="http://schemas.openxmlformats.org/officeDocument/2006/relationships/hyperlink" Target="https://www.publichealthontario.ca/en/data-and-analysis/substance-use/interactive-opioid-tool" TargetMode="External"/><Relationship Id="rId19" Type="http://schemas.openxmlformats.org/officeDocument/2006/relationships/hyperlink" Target="https://www.canada.ca/en/health-canada/corporate/about-health-canada/public-engagement/external-advisory-bodies/expert-task-force-substance-use/reports/report-2-2021.html" TargetMode="External"/><Relationship Id="rId31" Type="http://schemas.openxmlformats.org/officeDocument/2006/relationships/hyperlink" Target="https://www.drugstrategy.ca/uploads/5/3/6/2/53627897/dsno_policy_solutions_final_2022-04-20_v2.pdf"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csuch.ca/explore-the-data/" TargetMode="External"/><Relationship Id="rId22" Type="http://schemas.openxmlformats.org/officeDocument/2006/relationships/hyperlink" Target="https://capsa.ca/wp-content/uploads/2022/10/CAPSA-Substance-Use-Health-EN-1.pdf" TargetMode="External"/><Relationship Id="rId27" Type="http://schemas.openxmlformats.org/officeDocument/2006/relationships/hyperlink" Target="https://www.publichealthontario.ca/fr/data-and-analysis/substance-use/interactive-opioid-tool" TargetMode="External"/><Relationship Id="rId30" Type="http://schemas.openxmlformats.org/officeDocument/2006/relationships/hyperlink" Target="https://www.drugstrategy.ca/uploads/5/3/6/2/53627897/dsno_policy_solutions_final_2022-04-20_v2.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30657892230092E-2"/>
          <c:y val="0"/>
          <c:w val="0.8928677042375387"/>
          <c:h val="0.82989979615727072"/>
        </c:manualLayout>
      </c:layout>
      <c:barChart>
        <c:barDir val="col"/>
        <c:grouping val="stacked"/>
        <c:varyColors val="0"/>
        <c:ser>
          <c:idx val="0"/>
          <c:order val="0"/>
          <c:tx>
            <c:strRef>
              <c:f>Sheet1!$B$1</c:f>
              <c:strCache>
                <c:ptCount val="1"/>
                <c:pt idx="0">
                  <c:v>Cases</c:v>
                </c:pt>
              </c:strCache>
            </c:strRef>
          </c:tx>
          <c:spPr>
            <a:solidFill>
              <a:srgbClr val="41516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9308-4E62-96C5-0C3A9B1C39F3}"/>
              </c:ext>
            </c:extLst>
          </c:dPt>
          <c:dPt>
            <c:idx val="1"/>
            <c:invertIfNegative val="0"/>
            <c:bubble3D val="0"/>
            <c:spPr>
              <a:solidFill>
                <a:schemeClr val="tx1"/>
              </a:solidFill>
              <a:ln>
                <a:noFill/>
              </a:ln>
              <a:effectLst/>
            </c:spPr>
            <c:extLst>
              <c:ext xmlns:c16="http://schemas.microsoft.com/office/drawing/2014/chart" uri="{C3380CC4-5D6E-409C-BE32-E72D297353CC}">
                <c16:uniqueId val="{00000003-9308-4E62-96C5-0C3A9B1C39F3}"/>
              </c:ext>
            </c:extLst>
          </c:dPt>
          <c:dPt>
            <c:idx val="2"/>
            <c:invertIfNegative val="0"/>
            <c:bubble3D val="0"/>
            <c:spPr>
              <a:solidFill>
                <a:schemeClr val="tx1"/>
              </a:solidFill>
              <a:ln>
                <a:noFill/>
              </a:ln>
              <a:effectLst/>
            </c:spPr>
            <c:extLst>
              <c:ext xmlns:c16="http://schemas.microsoft.com/office/drawing/2014/chart" uri="{C3380CC4-5D6E-409C-BE32-E72D297353CC}">
                <c16:uniqueId val="{00000005-9308-4E62-96C5-0C3A9B1C39F3}"/>
              </c:ext>
            </c:extLst>
          </c:dPt>
          <c:dPt>
            <c:idx val="3"/>
            <c:invertIfNegative val="0"/>
            <c:bubble3D val="0"/>
            <c:spPr>
              <a:solidFill>
                <a:schemeClr val="tx1"/>
              </a:solidFill>
              <a:ln>
                <a:noFill/>
              </a:ln>
              <a:effectLst/>
            </c:spPr>
            <c:extLst>
              <c:ext xmlns:c16="http://schemas.microsoft.com/office/drawing/2014/chart" uri="{C3380CC4-5D6E-409C-BE32-E72D297353CC}">
                <c16:uniqueId val="{00000007-9308-4E62-96C5-0C3A9B1C39F3}"/>
              </c:ext>
            </c:extLst>
          </c:dPt>
          <c:dPt>
            <c:idx val="4"/>
            <c:invertIfNegative val="0"/>
            <c:bubble3D val="0"/>
            <c:spPr>
              <a:gradFill flip="none" rotWithShape="1">
                <a:gsLst>
                  <a:gs pos="95000">
                    <a:srgbClr val="7D0000"/>
                  </a:gs>
                  <a:gs pos="0">
                    <a:srgbClr val="4C0000"/>
                  </a:gs>
                  <a:gs pos="27000">
                    <a:srgbClr val="680000"/>
                  </a:gs>
                  <a:gs pos="78000">
                    <a:srgbClr val="920000"/>
                  </a:gs>
                </a:gsLst>
                <a:lin ang="2700000" scaled="1"/>
                <a:tileRect/>
              </a:gradFill>
              <a:ln>
                <a:noFill/>
              </a:ln>
              <a:effectLst/>
            </c:spPr>
            <c:extLst>
              <c:ext xmlns:c16="http://schemas.microsoft.com/office/drawing/2014/chart" uri="{C3380CC4-5D6E-409C-BE32-E72D297353CC}">
                <c16:uniqueId val="{00000009-9308-4E62-96C5-0C3A9B1C39F3}"/>
              </c:ext>
            </c:extLst>
          </c:dPt>
          <c:dPt>
            <c:idx val="5"/>
            <c:invertIfNegative val="0"/>
            <c:bubble3D val="0"/>
            <c:spPr>
              <a:gradFill flip="none" rotWithShape="1">
                <a:gsLst>
                  <a:gs pos="95000">
                    <a:srgbClr val="7D0000"/>
                  </a:gs>
                  <a:gs pos="0">
                    <a:srgbClr val="4C0000"/>
                  </a:gs>
                  <a:gs pos="27000">
                    <a:srgbClr val="680000"/>
                  </a:gs>
                  <a:gs pos="78000">
                    <a:srgbClr val="920000"/>
                  </a:gs>
                </a:gsLst>
                <a:lin ang="2700000" scaled="1"/>
                <a:tileRect/>
              </a:gradFill>
              <a:ln>
                <a:noFill/>
              </a:ln>
              <a:effectLst/>
            </c:spPr>
            <c:extLst>
              <c:ext xmlns:c16="http://schemas.microsoft.com/office/drawing/2014/chart" uri="{C3380CC4-5D6E-409C-BE32-E72D297353CC}">
                <c16:uniqueId val="{0000000B-9308-4E62-96C5-0C3A9B1C39F3}"/>
              </c:ext>
            </c:extLst>
          </c:dPt>
          <c:dLbls>
            <c:dLbl>
              <c:idx val="0"/>
              <c:layout>
                <c:manualLayout>
                  <c:x val="9.0896153902019673E-18"/>
                  <c:y val="-4.88383657162363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8-4E62-96C5-0C3A9B1C39F3}"/>
                </c:ext>
              </c:extLst>
            </c:dLbl>
            <c:dLbl>
              <c:idx val="1"/>
              <c:layout>
                <c:manualLayout>
                  <c:x val="-3.6358461560807869E-17"/>
                  <c:y val="-9.39199340696853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8-4E62-96C5-0C3A9B1C39F3}"/>
                </c:ext>
              </c:extLst>
            </c:dLbl>
            <c:dLbl>
              <c:idx val="2"/>
              <c:layout>
                <c:manualLayout>
                  <c:x val="0"/>
                  <c:y val="-0.116460718246409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08-4E62-96C5-0C3A9B1C39F3}"/>
                </c:ext>
              </c:extLst>
            </c:dLbl>
            <c:dLbl>
              <c:idx val="3"/>
              <c:layout>
                <c:manualLayout>
                  <c:x val="0"/>
                  <c:y val="-0.127731110334772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08-4E62-96C5-0C3A9B1C39F3}"/>
                </c:ext>
              </c:extLst>
            </c:dLbl>
            <c:dLbl>
              <c:idx val="4"/>
              <c:layout>
                <c:manualLayout>
                  <c:x val="0"/>
                  <c:y val="-0.229164639130032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08-4E62-96C5-0C3A9B1C39F3}"/>
                </c:ext>
              </c:extLst>
            </c:dLbl>
            <c:dLbl>
              <c:idx val="5"/>
              <c:layout>
                <c:manualLayout>
                  <c:x val="0"/>
                  <c:y val="-0.2742462074834812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308-4E62-96C5-0C3A9B1C39F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868</c:v>
                </c:pt>
                <c:pt idx="1">
                  <c:v>1292</c:v>
                </c:pt>
                <c:pt idx="2">
                  <c:v>1479</c:v>
                </c:pt>
                <c:pt idx="3">
                  <c:v>1559</c:v>
                </c:pt>
                <c:pt idx="4">
                  <c:v>2461</c:v>
                </c:pt>
                <c:pt idx="5">
                  <c:v>2880</c:v>
                </c:pt>
              </c:numCache>
            </c:numRef>
          </c:val>
          <c:extLst>
            <c:ext xmlns:c16="http://schemas.microsoft.com/office/drawing/2014/chart" uri="{C3380CC4-5D6E-409C-BE32-E72D297353CC}">
              <c16:uniqueId val="{0000000C-9308-4E62-96C5-0C3A9B1C39F3}"/>
            </c:ext>
          </c:extLst>
        </c:ser>
        <c:dLbls>
          <c:dLblPos val="ctr"/>
          <c:showLegendKey val="0"/>
          <c:showVal val="1"/>
          <c:showCatName val="0"/>
          <c:showSerName val="0"/>
          <c:showPercent val="0"/>
          <c:showBubbleSize val="0"/>
        </c:dLbls>
        <c:gapWidth val="10"/>
        <c:overlap val="100"/>
        <c:axId val="633250128"/>
        <c:axId val="633247504"/>
      </c:barChart>
      <c:catAx>
        <c:axId val="633250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633247504"/>
        <c:crosses val="autoZero"/>
        <c:auto val="1"/>
        <c:lblAlgn val="ctr"/>
        <c:lblOffset val="100"/>
        <c:noMultiLvlLbl val="0"/>
      </c:catAx>
      <c:valAx>
        <c:axId val="633247504"/>
        <c:scaling>
          <c:orientation val="minMax"/>
        </c:scaling>
        <c:delete val="1"/>
        <c:axPos val="l"/>
        <c:numFmt formatCode="General" sourceLinked="1"/>
        <c:majorTickMark val="out"/>
        <c:minorTickMark val="none"/>
        <c:tickLblPos val="nextTo"/>
        <c:crossAx val="63325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1711440481704"/>
          <c:y val="0.15086411533117186"/>
          <c:w val="0.85556719932067316"/>
          <c:h val="0.63527298517832331"/>
        </c:manualLayout>
      </c:layout>
      <c:lineChart>
        <c:grouping val="standard"/>
        <c:varyColors val="0"/>
        <c:ser>
          <c:idx val="0"/>
          <c:order val="0"/>
          <c:tx>
            <c:strRef>
              <c:f>Sheet1!$B$1</c:f>
              <c:strCache>
                <c:ptCount val="1"/>
                <c:pt idx="0">
                  <c:v>ED visits</c:v>
                </c:pt>
              </c:strCache>
            </c:strRef>
          </c:tx>
          <c:spPr>
            <a:ln w="28575" cap="rnd">
              <a:solidFill>
                <a:srgbClr val="920000"/>
              </a:solidFill>
              <a:round/>
            </a:ln>
            <a:effectLst/>
          </c:spPr>
          <c:marker>
            <c:symbol val="circle"/>
            <c:size val="5"/>
            <c:spPr>
              <a:solidFill>
                <a:srgbClr val="4C0000"/>
              </a:solidFill>
              <a:ln w="9525">
                <a:solidFill>
                  <a:srgbClr val="920000"/>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D1C6-4EF8-BDE9-307417BA7B25}"/>
                </c:ext>
              </c:extLst>
            </c:dLbl>
            <c:dLbl>
              <c:idx val="2"/>
              <c:delete val="1"/>
              <c:extLst>
                <c:ext xmlns:c15="http://schemas.microsoft.com/office/drawing/2012/chart" uri="{CE6537A1-D6FC-4f65-9D91-7224C49458BB}"/>
                <c:ext xmlns:c16="http://schemas.microsoft.com/office/drawing/2014/chart" uri="{C3380CC4-5D6E-409C-BE32-E72D297353CC}">
                  <c16:uniqueId val="{00000001-D1C6-4EF8-BDE9-307417BA7B25}"/>
                </c:ext>
              </c:extLst>
            </c:dLbl>
            <c:dLbl>
              <c:idx val="3"/>
              <c:delete val="1"/>
              <c:extLst>
                <c:ext xmlns:c15="http://schemas.microsoft.com/office/drawing/2012/chart" uri="{CE6537A1-D6FC-4f65-9D91-7224C49458BB}"/>
                <c:ext xmlns:c16="http://schemas.microsoft.com/office/drawing/2014/chart" uri="{C3380CC4-5D6E-409C-BE32-E72D297353CC}">
                  <c16:uniqueId val="{00000002-D1C6-4EF8-BDE9-307417BA7B25}"/>
                </c:ext>
              </c:extLst>
            </c:dLbl>
            <c:dLbl>
              <c:idx val="4"/>
              <c:delete val="1"/>
              <c:extLst>
                <c:ext xmlns:c15="http://schemas.microsoft.com/office/drawing/2012/chart" uri="{CE6537A1-D6FC-4f65-9D91-7224C49458BB}"/>
                <c:ext xmlns:c16="http://schemas.microsoft.com/office/drawing/2014/chart" uri="{C3380CC4-5D6E-409C-BE32-E72D297353CC}">
                  <c16:uniqueId val="{00000003-D1C6-4EF8-BDE9-307417BA7B25}"/>
                </c:ext>
              </c:extLst>
            </c:dLbl>
            <c:dLbl>
              <c:idx val="5"/>
              <c:delete val="1"/>
              <c:extLst>
                <c:ext xmlns:c15="http://schemas.microsoft.com/office/drawing/2012/chart" uri="{CE6537A1-D6FC-4f65-9D91-7224C49458BB}"/>
                <c:ext xmlns:c16="http://schemas.microsoft.com/office/drawing/2014/chart" uri="{C3380CC4-5D6E-409C-BE32-E72D297353CC}">
                  <c16:uniqueId val="{00000004-D1C6-4EF8-BDE9-307417BA7B25}"/>
                </c:ext>
              </c:extLst>
            </c:dLbl>
            <c:dLbl>
              <c:idx val="6"/>
              <c:layout>
                <c:manualLayout>
                  <c:x val="-1.266590095577274E-2"/>
                  <c:y val="-9.676555184336808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6763098171909627"/>
                      <c:h val="0.21706960227724842"/>
                    </c:manualLayout>
                  </c15:layout>
                </c:ext>
                <c:ext xmlns:c16="http://schemas.microsoft.com/office/drawing/2014/chart" uri="{C3380CC4-5D6E-409C-BE32-E72D297353CC}">
                  <c16:uniqueId val="{00000005-D1C6-4EF8-BDE9-307417BA7B25}"/>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rgbClr val="68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3628</c:v>
                </c:pt>
                <c:pt idx="1">
                  <c:v>4427</c:v>
                </c:pt>
                <c:pt idx="2">
                  <c:v>7764</c:v>
                </c:pt>
                <c:pt idx="3">
                  <c:v>9154</c:v>
                </c:pt>
                <c:pt idx="4">
                  <c:v>10478</c:v>
                </c:pt>
                <c:pt idx="5">
                  <c:v>12527</c:v>
                </c:pt>
                <c:pt idx="6">
                  <c:v>17073</c:v>
                </c:pt>
              </c:numCache>
            </c:numRef>
          </c:val>
          <c:smooth val="0"/>
          <c:extLst>
            <c:ext xmlns:c16="http://schemas.microsoft.com/office/drawing/2014/chart" uri="{C3380CC4-5D6E-409C-BE32-E72D297353CC}">
              <c16:uniqueId val="{00000006-D1C6-4EF8-BDE9-307417BA7B25}"/>
            </c:ext>
          </c:extLst>
        </c:ser>
        <c:dLbls>
          <c:dLblPos val="t"/>
          <c:showLegendKey val="0"/>
          <c:showVal val="1"/>
          <c:showCatName val="0"/>
          <c:showSerName val="0"/>
          <c:showPercent val="0"/>
          <c:showBubbleSize val="0"/>
        </c:dLbls>
        <c:marker val="1"/>
        <c:smooth val="0"/>
        <c:axId val="666149072"/>
        <c:axId val="666157272"/>
      </c:lineChart>
      <c:catAx>
        <c:axId val="666149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6157272"/>
        <c:crosses val="autoZero"/>
        <c:auto val="1"/>
        <c:lblAlgn val="ctr"/>
        <c:lblOffset val="100"/>
        <c:noMultiLvlLbl val="0"/>
      </c:catAx>
      <c:valAx>
        <c:axId val="666157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66614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1711440481704"/>
          <c:y val="0.15086411533117186"/>
          <c:w val="0.85556719932067316"/>
          <c:h val="0.63527298517832331"/>
        </c:manualLayout>
      </c:layout>
      <c:lineChart>
        <c:grouping val="standard"/>
        <c:varyColors val="0"/>
        <c:ser>
          <c:idx val="0"/>
          <c:order val="0"/>
          <c:tx>
            <c:strRef>
              <c:f>Sheet1!$B$1</c:f>
              <c:strCache>
                <c:ptCount val="1"/>
                <c:pt idx="0">
                  <c:v>EMS Responses</c:v>
                </c:pt>
              </c:strCache>
            </c:strRef>
          </c:tx>
          <c:spPr>
            <a:ln w="28575" cap="rnd">
              <a:solidFill>
                <a:srgbClr val="920000"/>
              </a:solidFill>
              <a:round/>
            </a:ln>
            <a:effectLst/>
          </c:spPr>
          <c:marker>
            <c:symbol val="circle"/>
            <c:size val="5"/>
            <c:spPr>
              <a:solidFill>
                <a:srgbClr val="4C0000"/>
              </a:solidFill>
              <a:ln w="9525">
                <a:solidFill>
                  <a:srgbClr val="920000"/>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CE80-436D-AE1D-F19FF74F424F}"/>
                </c:ext>
              </c:extLst>
            </c:dLbl>
            <c:dLbl>
              <c:idx val="2"/>
              <c:delete val="1"/>
              <c:extLst>
                <c:ext xmlns:c15="http://schemas.microsoft.com/office/drawing/2012/chart" uri="{CE6537A1-D6FC-4f65-9D91-7224C49458BB}"/>
                <c:ext xmlns:c16="http://schemas.microsoft.com/office/drawing/2014/chart" uri="{C3380CC4-5D6E-409C-BE32-E72D297353CC}">
                  <c16:uniqueId val="{00000001-CE80-436D-AE1D-F19FF74F424F}"/>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rgbClr val="68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1804</c:v>
                </c:pt>
                <c:pt idx="1">
                  <c:v>2629</c:v>
                </c:pt>
                <c:pt idx="2">
                  <c:v>3809</c:v>
                </c:pt>
                <c:pt idx="3">
                  <c:v>5008</c:v>
                </c:pt>
              </c:numCache>
            </c:numRef>
          </c:val>
          <c:smooth val="0"/>
          <c:extLst>
            <c:ext xmlns:c16="http://schemas.microsoft.com/office/drawing/2014/chart" uri="{C3380CC4-5D6E-409C-BE32-E72D297353CC}">
              <c16:uniqueId val="{00000002-CE80-436D-AE1D-F19FF74F424F}"/>
            </c:ext>
          </c:extLst>
        </c:ser>
        <c:dLbls>
          <c:showLegendKey val="0"/>
          <c:showVal val="0"/>
          <c:showCatName val="0"/>
          <c:showSerName val="0"/>
          <c:showPercent val="0"/>
          <c:showBubbleSize val="0"/>
        </c:dLbls>
        <c:marker val="1"/>
        <c:smooth val="0"/>
        <c:axId val="666149072"/>
        <c:axId val="666157272"/>
      </c:lineChart>
      <c:catAx>
        <c:axId val="666149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6157272"/>
        <c:crosses val="autoZero"/>
        <c:auto val="1"/>
        <c:lblAlgn val="ctr"/>
        <c:lblOffset val="100"/>
        <c:noMultiLvlLbl val="0"/>
      </c:catAx>
      <c:valAx>
        <c:axId val="666157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66614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30657892230092E-2"/>
          <c:y val="0"/>
          <c:w val="0.8928677042375387"/>
          <c:h val="0.82989979615727072"/>
        </c:manualLayout>
      </c:layout>
      <c:barChart>
        <c:barDir val="col"/>
        <c:grouping val="stacked"/>
        <c:varyColors val="0"/>
        <c:ser>
          <c:idx val="0"/>
          <c:order val="0"/>
          <c:tx>
            <c:strRef>
              <c:f>Sheet1!$B$1</c:f>
              <c:strCache>
                <c:ptCount val="1"/>
                <c:pt idx="0">
                  <c:v>Cases</c:v>
                </c:pt>
              </c:strCache>
            </c:strRef>
          </c:tx>
          <c:spPr>
            <a:solidFill>
              <a:srgbClr val="41516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1-653B-45A1-BDB5-555E9537E600}"/>
              </c:ext>
            </c:extLst>
          </c:dPt>
          <c:dPt>
            <c:idx val="1"/>
            <c:invertIfNegative val="0"/>
            <c:bubble3D val="0"/>
            <c:spPr>
              <a:solidFill>
                <a:schemeClr val="tx1"/>
              </a:solidFill>
              <a:ln>
                <a:noFill/>
              </a:ln>
              <a:effectLst/>
            </c:spPr>
            <c:extLst>
              <c:ext xmlns:c16="http://schemas.microsoft.com/office/drawing/2014/chart" uri="{C3380CC4-5D6E-409C-BE32-E72D297353CC}">
                <c16:uniqueId val="{00000003-653B-45A1-BDB5-555E9537E600}"/>
              </c:ext>
            </c:extLst>
          </c:dPt>
          <c:dPt>
            <c:idx val="2"/>
            <c:invertIfNegative val="0"/>
            <c:bubble3D val="0"/>
            <c:spPr>
              <a:solidFill>
                <a:schemeClr val="tx1"/>
              </a:solidFill>
              <a:ln>
                <a:noFill/>
              </a:ln>
              <a:effectLst/>
            </c:spPr>
            <c:extLst>
              <c:ext xmlns:c16="http://schemas.microsoft.com/office/drawing/2014/chart" uri="{C3380CC4-5D6E-409C-BE32-E72D297353CC}">
                <c16:uniqueId val="{00000005-653B-45A1-BDB5-555E9537E600}"/>
              </c:ext>
            </c:extLst>
          </c:dPt>
          <c:dPt>
            <c:idx val="3"/>
            <c:invertIfNegative val="0"/>
            <c:bubble3D val="0"/>
            <c:spPr>
              <a:solidFill>
                <a:schemeClr val="tx1"/>
              </a:solidFill>
              <a:ln>
                <a:noFill/>
              </a:ln>
              <a:effectLst/>
            </c:spPr>
            <c:extLst>
              <c:ext xmlns:c16="http://schemas.microsoft.com/office/drawing/2014/chart" uri="{C3380CC4-5D6E-409C-BE32-E72D297353CC}">
                <c16:uniqueId val="{00000007-653B-45A1-BDB5-555E9537E600}"/>
              </c:ext>
            </c:extLst>
          </c:dPt>
          <c:dPt>
            <c:idx val="4"/>
            <c:invertIfNegative val="0"/>
            <c:bubble3D val="0"/>
            <c:spPr>
              <a:gradFill flip="none" rotWithShape="1">
                <a:gsLst>
                  <a:gs pos="95000">
                    <a:srgbClr val="7D0000"/>
                  </a:gs>
                  <a:gs pos="0">
                    <a:srgbClr val="4C0000"/>
                  </a:gs>
                  <a:gs pos="27000">
                    <a:srgbClr val="680000"/>
                  </a:gs>
                  <a:gs pos="78000">
                    <a:srgbClr val="920000"/>
                  </a:gs>
                </a:gsLst>
                <a:lin ang="2700000" scaled="1"/>
                <a:tileRect/>
              </a:gradFill>
              <a:ln>
                <a:noFill/>
              </a:ln>
              <a:effectLst/>
            </c:spPr>
            <c:extLst>
              <c:ext xmlns:c16="http://schemas.microsoft.com/office/drawing/2014/chart" uri="{C3380CC4-5D6E-409C-BE32-E72D297353CC}">
                <c16:uniqueId val="{00000009-653B-45A1-BDB5-555E9537E600}"/>
              </c:ext>
            </c:extLst>
          </c:dPt>
          <c:dPt>
            <c:idx val="5"/>
            <c:invertIfNegative val="0"/>
            <c:bubble3D val="0"/>
            <c:spPr>
              <a:gradFill flip="none" rotWithShape="1">
                <a:gsLst>
                  <a:gs pos="95000">
                    <a:srgbClr val="7D0000"/>
                  </a:gs>
                  <a:gs pos="0">
                    <a:srgbClr val="4C0000"/>
                  </a:gs>
                  <a:gs pos="27000">
                    <a:srgbClr val="680000"/>
                  </a:gs>
                  <a:gs pos="78000">
                    <a:srgbClr val="920000"/>
                  </a:gs>
                </a:gsLst>
                <a:lin ang="2700000" scaled="1"/>
                <a:tileRect/>
              </a:gradFill>
              <a:ln>
                <a:noFill/>
              </a:ln>
              <a:effectLst/>
            </c:spPr>
            <c:extLst>
              <c:ext xmlns:c16="http://schemas.microsoft.com/office/drawing/2014/chart" uri="{C3380CC4-5D6E-409C-BE32-E72D297353CC}">
                <c16:uniqueId val="{0000000B-653B-45A1-BDB5-555E9537E600}"/>
              </c:ext>
            </c:extLst>
          </c:dPt>
          <c:dLbls>
            <c:dLbl>
              <c:idx val="0"/>
              <c:layout>
                <c:manualLayout>
                  <c:x val="9.0896153902019673E-18"/>
                  <c:y val="-4.88383657162363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3B-45A1-BDB5-555E9537E600}"/>
                </c:ext>
              </c:extLst>
            </c:dLbl>
            <c:dLbl>
              <c:idx val="1"/>
              <c:layout>
                <c:manualLayout>
                  <c:x val="-3.6358461560807869E-17"/>
                  <c:y val="-9.39199340696853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3B-45A1-BDB5-555E9537E600}"/>
                </c:ext>
              </c:extLst>
            </c:dLbl>
            <c:dLbl>
              <c:idx val="2"/>
              <c:layout>
                <c:manualLayout>
                  <c:x val="0"/>
                  <c:y val="-0.116460718246409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3B-45A1-BDB5-555E9537E600}"/>
                </c:ext>
              </c:extLst>
            </c:dLbl>
            <c:dLbl>
              <c:idx val="3"/>
              <c:layout>
                <c:manualLayout>
                  <c:x val="0"/>
                  <c:y val="-0.127731110334772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3B-45A1-BDB5-555E9537E600}"/>
                </c:ext>
              </c:extLst>
            </c:dLbl>
            <c:dLbl>
              <c:idx val="4"/>
              <c:layout>
                <c:manualLayout>
                  <c:x val="0"/>
                  <c:y val="-0.229164639130032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3B-45A1-BDB5-555E9537E600}"/>
                </c:ext>
              </c:extLst>
            </c:dLbl>
            <c:dLbl>
              <c:idx val="5"/>
              <c:layout>
                <c:manualLayout>
                  <c:x val="0"/>
                  <c:y val="-0.2742462074834812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53B-45A1-BDB5-555E9537E600}"/>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868</c:v>
                </c:pt>
                <c:pt idx="1">
                  <c:v>1292</c:v>
                </c:pt>
                <c:pt idx="2">
                  <c:v>1479</c:v>
                </c:pt>
                <c:pt idx="3">
                  <c:v>1559</c:v>
                </c:pt>
                <c:pt idx="4">
                  <c:v>2461</c:v>
                </c:pt>
                <c:pt idx="5">
                  <c:v>2880</c:v>
                </c:pt>
              </c:numCache>
            </c:numRef>
          </c:val>
          <c:extLst>
            <c:ext xmlns:c16="http://schemas.microsoft.com/office/drawing/2014/chart" uri="{C3380CC4-5D6E-409C-BE32-E72D297353CC}">
              <c16:uniqueId val="{0000000C-653B-45A1-BDB5-555E9537E600}"/>
            </c:ext>
          </c:extLst>
        </c:ser>
        <c:dLbls>
          <c:dLblPos val="ctr"/>
          <c:showLegendKey val="0"/>
          <c:showVal val="1"/>
          <c:showCatName val="0"/>
          <c:showSerName val="0"/>
          <c:showPercent val="0"/>
          <c:showBubbleSize val="0"/>
        </c:dLbls>
        <c:gapWidth val="10"/>
        <c:overlap val="100"/>
        <c:axId val="633250128"/>
        <c:axId val="633247504"/>
      </c:barChart>
      <c:catAx>
        <c:axId val="633250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633247504"/>
        <c:crosses val="autoZero"/>
        <c:auto val="1"/>
        <c:lblAlgn val="ctr"/>
        <c:lblOffset val="100"/>
        <c:noMultiLvlLbl val="0"/>
      </c:catAx>
      <c:valAx>
        <c:axId val="633247504"/>
        <c:scaling>
          <c:orientation val="minMax"/>
        </c:scaling>
        <c:delete val="1"/>
        <c:axPos val="l"/>
        <c:numFmt formatCode="General" sourceLinked="1"/>
        <c:majorTickMark val="out"/>
        <c:minorTickMark val="none"/>
        <c:tickLblPos val="nextTo"/>
        <c:crossAx val="63325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1711440481704"/>
          <c:y val="0.15086411533117186"/>
          <c:w val="0.85556719932067316"/>
          <c:h val="0.63527298517832331"/>
        </c:manualLayout>
      </c:layout>
      <c:lineChart>
        <c:grouping val="standard"/>
        <c:varyColors val="0"/>
        <c:ser>
          <c:idx val="0"/>
          <c:order val="0"/>
          <c:tx>
            <c:strRef>
              <c:f>Sheet1!$B$1</c:f>
              <c:strCache>
                <c:ptCount val="1"/>
                <c:pt idx="0">
                  <c:v>ED visits</c:v>
                </c:pt>
              </c:strCache>
            </c:strRef>
          </c:tx>
          <c:spPr>
            <a:ln w="28575" cap="rnd">
              <a:solidFill>
                <a:srgbClr val="920000"/>
              </a:solidFill>
              <a:round/>
            </a:ln>
            <a:effectLst/>
          </c:spPr>
          <c:marker>
            <c:symbol val="circle"/>
            <c:size val="5"/>
            <c:spPr>
              <a:solidFill>
                <a:srgbClr val="4C0000"/>
              </a:solidFill>
              <a:ln w="9525">
                <a:solidFill>
                  <a:srgbClr val="920000"/>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E79D-45AA-B5F5-BAF09884BEED}"/>
                </c:ext>
              </c:extLst>
            </c:dLbl>
            <c:dLbl>
              <c:idx val="2"/>
              <c:delete val="1"/>
              <c:extLst>
                <c:ext xmlns:c15="http://schemas.microsoft.com/office/drawing/2012/chart" uri="{CE6537A1-D6FC-4f65-9D91-7224C49458BB}"/>
                <c:ext xmlns:c16="http://schemas.microsoft.com/office/drawing/2014/chart" uri="{C3380CC4-5D6E-409C-BE32-E72D297353CC}">
                  <c16:uniqueId val="{00000001-E79D-45AA-B5F5-BAF09884BEED}"/>
                </c:ext>
              </c:extLst>
            </c:dLbl>
            <c:dLbl>
              <c:idx val="3"/>
              <c:delete val="1"/>
              <c:extLst>
                <c:ext xmlns:c15="http://schemas.microsoft.com/office/drawing/2012/chart" uri="{CE6537A1-D6FC-4f65-9D91-7224C49458BB}"/>
                <c:ext xmlns:c16="http://schemas.microsoft.com/office/drawing/2014/chart" uri="{C3380CC4-5D6E-409C-BE32-E72D297353CC}">
                  <c16:uniqueId val="{00000002-E79D-45AA-B5F5-BAF09884BEED}"/>
                </c:ext>
              </c:extLst>
            </c:dLbl>
            <c:dLbl>
              <c:idx val="4"/>
              <c:delete val="1"/>
              <c:extLst>
                <c:ext xmlns:c15="http://schemas.microsoft.com/office/drawing/2012/chart" uri="{CE6537A1-D6FC-4f65-9D91-7224C49458BB}"/>
                <c:ext xmlns:c16="http://schemas.microsoft.com/office/drawing/2014/chart" uri="{C3380CC4-5D6E-409C-BE32-E72D297353CC}">
                  <c16:uniqueId val="{00000003-E79D-45AA-B5F5-BAF09884BEED}"/>
                </c:ext>
              </c:extLst>
            </c:dLbl>
            <c:dLbl>
              <c:idx val="5"/>
              <c:delete val="1"/>
              <c:extLst>
                <c:ext xmlns:c15="http://schemas.microsoft.com/office/drawing/2012/chart" uri="{CE6537A1-D6FC-4f65-9D91-7224C49458BB}"/>
                <c:ext xmlns:c16="http://schemas.microsoft.com/office/drawing/2014/chart" uri="{C3380CC4-5D6E-409C-BE32-E72D297353CC}">
                  <c16:uniqueId val="{00000004-E79D-45AA-B5F5-BAF09884BEED}"/>
                </c:ext>
              </c:extLst>
            </c:dLbl>
            <c:dLbl>
              <c:idx val="6"/>
              <c:layout>
                <c:manualLayout>
                  <c:x val="-1.266590095577274E-2"/>
                  <c:y val="-9.676555184336808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6763098171909627"/>
                      <c:h val="0.21706960227724842"/>
                    </c:manualLayout>
                  </c15:layout>
                </c:ext>
                <c:ext xmlns:c16="http://schemas.microsoft.com/office/drawing/2014/chart" uri="{C3380CC4-5D6E-409C-BE32-E72D297353CC}">
                  <c16:uniqueId val="{00000005-E79D-45AA-B5F5-BAF09884BEED}"/>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rgbClr val="68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2015</c:v>
                </c:pt>
                <c:pt idx="1">
                  <c:v>2016</c:v>
                </c:pt>
                <c:pt idx="2">
                  <c:v>2017</c:v>
                </c:pt>
                <c:pt idx="3">
                  <c:v>2018</c:v>
                </c:pt>
                <c:pt idx="4">
                  <c:v>2019</c:v>
                </c:pt>
                <c:pt idx="5">
                  <c:v>2020</c:v>
                </c:pt>
                <c:pt idx="6">
                  <c:v>2021</c:v>
                </c:pt>
              </c:numCache>
            </c:numRef>
          </c:cat>
          <c:val>
            <c:numRef>
              <c:f>Sheet1!$B$2:$B$8</c:f>
              <c:numCache>
                <c:formatCode>General</c:formatCode>
                <c:ptCount val="7"/>
                <c:pt idx="0">
                  <c:v>3628</c:v>
                </c:pt>
                <c:pt idx="1">
                  <c:v>4427</c:v>
                </c:pt>
                <c:pt idx="2">
                  <c:v>7764</c:v>
                </c:pt>
                <c:pt idx="3">
                  <c:v>9154</c:v>
                </c:pt>
                <c:pt idx="4">
                  <c:v>10478</c:v>
                </c:pt>
                <c:pt idx="5">
                  <c:v>12527</c:v>
                </c:pt>
                <c:pt idx="6">
                  <c:v>17073</c:v>
                </c:pt>
              </c:numCache>
            </c:numRef>
          </c:val>
          <c:smooth val="0"/>
          <c:extLst>
            <c:ext xmlns:c16="http://schemas.microsoft.com/office/drawing/2014/chart" uri="{C3380CC4-5D6E-409C-BE32-E72D297353CC}">
              <c16:uniqueId val="{00000006-E79D-45AA-B5F5-BAF09884BEED}"/>
            </c:ext>
          </c:extLst>
        </c:ser>
        <c:dLbls>
          <c:dLblPos val="t"/>
          <c:showLegendKey val="0"/>
          <c:showVal val="1"/>
          <c:showCatName val="0"/>
          <c:showSerName val="0"/>
          <c:showPercent val="0"/>
          <c:showBubbleSize val="0"/>
        </c:dLbls>
        <c:marker val="1"/>
        <c:smooth val="0"/>
        <c:axId val="666149072"/>
        <c:axId val="666157272"/>
      </c:lineChart>
      <c:catAx>
        <c:axId val="666149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6157272"/>
        <c:crosses val="autoZero"/>
        <c:auto val="1"/>
        <c:lblAlgn val="ctr"/>
        <c:lblOffset val="100"/>
        <c:noMultiLvlLbl val="0"/>
      </c:catAx>
      <c:valAx>
        <c:axId val="666157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66614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1711440481704"/>
          <c:y val="0.15086411533117186"/>
          <c:w val="0.85556719932067316"/>
          <c:h val="0.63527298517832331"/>
        </c:manualLayout>
      </c:layout>
      <c:lineChart>
        <c:grouping val="standard"/>
        <c:varyColors val="0"/>
        <c:ser>
          <c:idx val="0"/>
          <c:order val="0"/>
          <c:tx>
            <c:strRef>
              <c:f>Sheet1!$B$1</c:f>
              <c:strCache>
                <c:ptCount val="1"/>
                <c:pt idx="0">
                  <c:v>EMS Responses</c:v>
                </c:pt>
              </c:strCache>
            </c:strRef>
          </c:tx>
          <c:spPr>
            <a:ln w="28575" cap="rnd">
              <a:solidFill>
                <a:srgbClr val="920000"/>
              </a:solidFill>
              <a:round/>
            </a:ln>
            <a:effectLst/>
          </c:spPr>
          <c:marker>
            <c:symbol val="circle"/>
            <c:size val="5"/>
            <c:spPr>
              <a:solidFill>
                <a:srgbClr val="4C0000"/>
              </a:solidFill>
              <a:ln w="9525">
                <a:solidFill>
                  <a:srgbClr val="920000"/>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683B-4EDA-A56A-C6018AE348EC}"/>
                </c:ext>
              </c:extLst>
            </c:dLbl>
            <c:dLbl>
              <c:idx val="2"/>
              <c:delete val="1"/>
              <c:extLst>
                <c:ext xmlns:c15="http://schemas.microsoft.com/office/drawing/2012/chart" uri="{CE6537A1-D6FC-4f65-9D91-7224C49458BB}"/>
                <c:ext xmlns:c16="http://schemas.microsoft.com/office/drawing/2014/chart" uri="{C3380CC4-5D6E-409C-BE32-E72D297353CC}">
                  <c16:uniqueId val="{00000001-683B-4EDA-A56A-C6018AE348EC}"/>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rgbClr val="68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1804</c:v>
                </c:pt>
                <c:pt idx="1">
                  <c:v>2629</c:v>
                </c:pt>
                <c:pt idx="2">
                  <c:v>3809</c:v>
                </c:pt>
                <c:pt idx="3">
                  <c:v>5008</c:v>
                </c:pt>
              </c:numCache>
            </c:numRef>
          </c:val>
          <c:smooth val="0"/>
          <c:extLst>
            <c:ext xmlns:c16="http://schemas.microsoft.com/office/drawing/2014/chart" uri="{C3380CC4-5D6E-409C-BE32-E72D297353CC}">
              <c16:uniqueId val="{00000002-683B-4EDA-A56A-C6018AE348EC}"/>
            </c:ext>
          </c:extLst>
        </c:ser>
        <c:dLbls>
          <c:showLegendKey val="0"/>
          <c:showVal val="0"/>
          <c:showCatName val="0"/>
          <c:showSerName val="0"/>
          <c:showPercent val="0"/>
          <c:showBubbleSize val="0"/>
        </c:dLbls>
        <c:marker val="1"/>
        <c:smooth val="0"/>
        <c:axId val="666149072"/>
        <c:axId val="666157272"/>
      </c:lineChart>
      <c:catAx>
        <c:axId val="666149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6157272"/>
        <c:crosses val="autoZero"/>
        <c:auto val="1"/>
        <c:lblAlgn val="ctr"/>
        <c:lblOffset val="100"/>
        <c:noMultiLvlLbl val="0"/>
      </c:catAx>
      <c:valAx>
        <c:axId val="666157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66614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drug poisoning crisis in Ontario</dc:title>
  <dc:subject/>
  <dc:creator>Leah Green</dc:creator>
  <cp:keywords/>
  <dc:description/>
  <cp:lastModifiedBy>Leah Green</cp:lastModifiedBy>
  <cp:revision>5</cp:revision>
  <dcterms:created xsi:type="dcterms:W3CDTF">2023-01-24T16:21:00Z</dcterms:created>
  <dcterms:modified xsi:type="dcterms:W3CDTF">2023-04-17T22:53:00Z</dcterms:modified>
</cp:coreProperties>
</file>